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4088" w14:textId="41F7E29E" w:rsidR="00C756BA" w:rsidRPr="00310C7B" w:rsidRDefault="00C756BA" w:rsidP="00C756BA">
      <w:pPr>
        <w:jc w:val="right"/>
        <w:rPr>
          <w:rFonts w:eastAsia="Times New Roman"/>
          <w:b/>
          <w:snapToGrid w:val="0"/>
          <w:color w:val="000000"/>
          <w:sz w:val="24"/>
          <w:szCs w:val="24"/>
          <w:lang w:eastAsia="de-DE"/>
        </w:rPr>
      </w:pPr>
      <w:r>
        <w:rPr>
          <w:rFonts w:eastAsia="Times New Roman" w:cstheme="minorHAnsi"/>
          <w:b/>
          <w:noProof/>
          <w:snapToGrid w:val="0"/>
          <w:color w:val="000000"/>
          <w:sz w:val="24"/>
          <w:szCs w:val="24"/>
          <w:lang w:eastAsia="de-DE"/>
        </w:rPr>
        <w:drawing>
          <wp:inline distT="0" distB="0" distL="0" distR="0" wp14:anchorId="322854A7" wp14:editId="46D7056C">
            <wp:extent cx="2158365" cy="280670"/>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365" cy="280670"/>
                    </a:xfrm>
                    <a:prstGeom prst="rect">
                      <a:avLst/>
                    </a:prstGeom>
                    <a:noFill/>
                  </pic:spPr>
                </pic:pic>
              </a:graphicData>
            </a:graphic>
          </wp:inline>
        </w:drawing>
      </w:r>
    </w:p>
    <w:p w14:paraId="67546FC2" w14:textId="77777777" w:rsidR="00C756BA" w:rsidRDefault="00C756BA" w:rsidP="00C756BA">
      <w:pPr>
        <w:jc w:val="right"/>
        <w:rPr>
          <w:rFonts w:eastAsia="Times New Roman" w:cstheme="minorHAnsi"/>
          <w:b/>
          <w:snapToGrid w:val="0"/>
          <w:color w:val="000000"/>
          <w:sz w:val="24"/>
          <w:szCs w:val="24"/>
          <w:lang w:eastAsia="de-DE"/>
        </w:rPr>
      </w:pPr>
    </w:p>
    <w:p w14:paraId="4FD04844" w14:textId="3D81C8AC" w:rsidR="00562517" w:rsidRDefault="00562517" w:rsidP="003179F8">
      <w:pPr>
        <w:jc w:val="both"/>
        <w:rPr>
          <w:rFonts w:eastAsia="Times New Roman" w:cstheme="minorHAnsi"/>
          <w:b/>
          <w:snapToGrid w:val="0"/>
          <w:color w:val="000000"/>
          <w:sz w:val="24"/>
          <w:szCs w:val="24"/>
          <w:lang w:eastAsia="de-DE"/>
        </w:rPr>
      </w:pPr>
      <w:r w:rsidRPr="003179F8">
        <w:rPr>
          <w:rFonts w:eastAsia="Times New Roman" w:cstheme="minorHAnsi"/>
          <w:b/>
          <w:snapToGrid w:val="0"/>
          <w:color w:val="000000"/>
          <w:sz w:val="24"/>
          <w:szCs w:val="24"/>
          <w:lang w:eastAsia="de-DE"/>
        </w:rPr>
        <w:t xml:space="preserve">Musterkonzept zur Einführung von </w:t>
      </w:r>
      <w:bookmarkStart w:id="0" w:name="_Hlk169767882"/>
      <w:proofErr w:type="spellStart"/>
      <w:r w:rsidRPr="003179F8">
        <w:rPr>
          <w:rFonts w:eastAsia="Times New Roman" w:cstheme="minorHAnsi"/>
          <w:b/>
          <w:snapToGrid w:val="0"/>
          <w:color w:val="000000"/>
          <w:sz w:val="24"/>
          <w:szCs w:val="24"/>
          <w:lang w:eastAsia="de-DE"/>
        </w:rPr>
        <w:t>Repurchase</w:t>
      </w:r>
      <w:proofErr w:type="spellEnd"/>
      <w:r w:rsidRPr="003179F8">
        <w:rPr>
          <w:rFonts w:eastAsia="Times New Roman" w:cstheme="minorHAnsi"/>
          <w:b/>
          <w:snapToGrid w:val="0"/>
          <w:color w:val="000000"/>
          <w:sz w:val="24"/>
          <w:szCs w:val="24"/>
          <w:lang w:eastAsia="de-DE"/>
        </w:rPr>
        <w:t xml:space="preserve"> Agreements („Repo“, echte Wertpapierpensionsgeschäfte)</w:t>
      </w:r>
    </w:p>
    <w:bookmarkEnd w:id="0"/>
    <w:p w14:paraId="1882D499" w14:textId="77777777" w:rsidR="009E299A" w:rsidRDefault="009E299A" w:rsidP="003179F8">
      <w:pPr>
        <w:jc w:val="both"/>
        <w:rPr>
          <w:rFonts w:eastAsia="Times New Roman" w:cstheme="minorHAnsi"/>
          <w:b/>
          <w:snapToGrid w:val="0"/>
          <w:color w:val="000000"/>
          <w:sz w:val="24"/>
          <w:szCs w:val="24"/>
          <w:lang w:eastAsia="de-DE"/>
        </w:rPr>
      </w:pPr>
    </w:p>
    <w:p w14:paraId="2AEBAA3B" w14:textId="204B3994" w:rsidR="009E299A" w:rsidRDefault="009E299A" w:rsidP="009E299A">
      <w:pPr>
        <w:jc w:val="center"/>
        <w:rPr>
          <w:rFonts w:eastAsia="Times New Roman" w:cstheme="minorHAnsi"/>
          <w:b/>
          <w:snapToGrid w:val="0"/>
          <w:color w:val="000000"/>
          <w:sz w:val="24"/>
          <w:szCs w:val="24"/>
          <w:lang w:eastAsia="de-DE"/>
        </w:rPr>
      </w:pPr>
      <w:r w:rsidRPr="009E299A">
        <w:rPr>
          <w:rFonts w:eastAsia="Times New Roman" w:cstheme="minorHAnsi"/>
          <w:b/>
          <w:snapToGrid w:val="0"/>
          <w:color w:val="000000"/>
          <w:sz w:val="24"/>
          <w:szCs w:val="24"/>
          <w:lang w:eastAsia="de-DE"/>
        </w:rPr>
        <w:t>Nur zum internen Gebrauch der Genossenschaftsbanken</w:t>
      </w:r>
    </w:p>
    <w:p w14:paraId="447F8F74" w14:textId="77777777" w:rsidR="009E299A" w:rsidRDefault="009E299A" w:rsidP="003179F8">
      <w:pPr>
        <w:jc w:val="both"/>
        <w:rPr>
          <w:rFonts w:eastAsia="Times New Roman" w:cstheme="minorHAnsi"/>
          <w:snapToGrid w:val="0"/>
          <w:color w:val="000000"/>
          <w:sz w:val="24"/>
          <w:szCs w:val="24"/>
          <w:lang w:eastAsia="de-DE"/>
        </w:rPr>
      </w:pPr>
    </w:p>
    <w:p w14:paraId="6936F872" w14:textId="77777777" w:rsidR="00C756BA" w:rsidRPr="003179F8" w:rsidRDefault="00C756BA" w:rsidP="00C756BA">
      <w:pPr>
        <w:pBdr>
          <w:top w:val="single" w:sz="4" w:space="4"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s>
        <w:jc w:val="both"/>
        <w:rPr>
          <w:rFonts w:eastAsia="Times New Roman" w:cstheme="minorHAnsi"/>
          <w:b/>
          <w:snapToGrid w:val="0"/>
          <w:color w:val="000000"/>
          <w:sz w:val="24"/>
          <w:szCs w:val="24"/>
          <w:lang w:eastAsia="de-DE"/>
        </w:rPr>
      </w:pPr>
      <w:r w:rsidRPr="003179F8">
        <w:rPr>
          <w:rFonts w:eastAsia="Times New Roman" w:cstheme="minorHAnsi"/>
          <w:b/>
          <w:snapToGrid w:val="0"/>
          <w:color w:val="000000"/>
          <w:sz w:val="24"/>
          <w:szCs w:val="24"/>
          <w:lang w:eastAsia="de-DE"/>
        </w:rPr>
        <w:t xml:space="preserve">Rechtliche Hinweise: </w:t>
      </w:r>
    </w:p>
    <w:p w14:paraId="7CE60F1E" w14:textId="77777777" w:rsidR="00C756BA" w:rsidRPr="00C756BA" w:rsidRDefault="00C756BA" w:rsidP="00C756BA">
      <w:pPr>
        <w:pBdr>
          <w:top w:val="single" w:sz="4" w:space="4"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s>
        <w:jc w:val="both"/>
        <w:rPr>
          <w:rFonts w:eastAsia="Times New Roman" w:cstheme="minorHAnsi"/>
          <w:snapToGrid w:val="0"/>
          <w:color w:val="000000"/>
          <w:sz w:val="20"/>
          <w:szCs w:val="20"/>
          <w:lang w:eastAsia="de-DE"/>
        </w:rPr>
      </w:pPr>
      <w:r w:rsidRPr="00C756BA">
        <w:rPr>
          <w:rFonts w:eastAsia="Times New Roman" w:cstheme="minorHAnsi"/>
          <w:snapToGrid w:val="0"/>
          <w:color w:val="000000"/>
          <w:sz w:val="20"/>
          <w:szCs w:val="20"/>
          <w:lang w:eastAsia="de-DE"/>
        </w:rPr>
        <w:t xml:space="preserve">Diese unverbindliche Muster-Konzeption dient als Hilfsmittel der Unterstützung und Erleichterung des Produkteinführungsprozesses für die Einführung von </w:t>
      </w:r>
      <w:bookmarkStart w:id="1" w:name="_Hlk169784461"/>
      <w:proofErr w:type="spellStart"/>
      <w:r w:rsidRPr="00C756BA">
        <w:rPr>
          <w:rFonts w:eastAsia="Times New Roman" w:cstheme="minorHAnsi"/>
          <w:snapToGrid w:val="0"/>
          <w:color w:val="000000"/>
          <w:sz w:val="20"/>
          <w:szCs w:val="20"/>
          <w:lang w:eastAsia="de-DE"/>
        </w:rPr>
        <w:t>Repurchase</w:t>
      </w:r>
      <w:proofErr w:type="spellEnd"/>
      <w:r w:rsidRPr="00C756BA">
        <w:rPr>
          <w:rFonts w:eastAsia="Times New Roman" w:cstheme="minorHAnsi"/>
          <w:snapToGrid w:val="0"/>
          <w:color w:val="000000"/>
          <w:sz w:val="20"/>
          <w:szCs w:val="20"/>
          <w:lang w:eastAsia="de-DE"/>
        </w:rPr>
        <w:t xml:space="preserve"> Agreements („Repo“, echte Wertpapierpensionsgeschäfte)</w:t>
      </w:r>
      <w:bookmarkEnd w:id="1"/>
      <w:r w:rsidRPr="00C756BA">
        <w:rPr>
          <w:rFonts w:eastAsia="Times New Roman" w:cstheme="minorHAnsi"/>
          <w:snapToGrid w:val="0"/>
          <w:color w:val="000000"/>
          <w:sz w:val="20"/>
          <w:szCs w:val="20"/>
          <w:lang w:eastAsia="de-DE"/>
        </w:rPr>
        <w:t xml:space="preserve">. Die Geeignetheit dieses Hilfsmittels sowie spezifische Anpassungen auf die jeweilige Strategie, das einzelne Haus, insbesondere unter Berücksichtigung der Ansicht des jeweiligen Prüfungsverbandes, sind sorgfältig zu prüfen. Insbesondere die Ausführungen zum Prüfungsansatz der Innenrevision sind zu ergänzen. Auch wenn die Ausführungen mit größtmöglicher Sorgfalt erarbeitet wurden, kann eine Garantie für Vollständigkeit nicht gegeben werden. Die Inhalte entsprechen dem Stand zum Zeitpunkt der Erstellung dieser Konzeption. Sie können aufgrund künftiger Entwicklungen überholt sein, ohne dass diese Konzeption geändert wurde. Diese Konzeption stellt weder ein öffentliches Angebot noch eine Aufforderung zur Abgabe eines Angebotes zum Erwerb von Wertpapieren oder Finanzinstrumenten dar. Eine Investitionsentscheidung bezüglich irgendwelcher Wertpapiere oder sonstiger Finanzinstrumente sollte nicht auf der Grundlage dieser Konzeption erfolgen. Sie kann eine eigenverantwortliche Prüfung der Chancen, Risiken und der Funktionsweise der in Bezug genommenen Wertpapiere oder Finanzinstrumente unter Berücksichtigung der jeweiligen individuellen Investitionsziele nicht ersetzen. Die dargestellten Sachverhalte dienen ausschließlich der Unterstützung sowie Erleichterung von Produkteinführungsprozessen für die Einführung von </w:t>
      </w:r>
      <w:bookmarkStart w:id="2" w:name="_Hlk169784361"/>
      <w:proofErr w:type="spellStart"/>
      <w:r w:rsidRPr="00C756BA">
        <w:rPr>
          <w:rFonts w:eastAsia="Times New Roman" w:cstheme="minorHAnsi"/>
          <w:snapToGrid w:val="0"/>
          <w:color w:val="000000"/>
          <w:sz w:val="20"/>
          <w:szCs w:val="20"/>
          <w:lang w:eastAsia="de-DE"/>
        </w:rPr>
        <w:t>Repurchase</w:t>
      </w:r>
      <w:proofErr w:type="spellEnd"/>
      <w:r w:rsidRPr="00C756BA">
        <w:rPr>
          <w:rFonts w:eastAsia="Times New Roman" w:cstheme="minorHAnsi"/>
          <w:snapToGrid w:val="0"/>
          <w:color w:val="000000"/>
          <w:sz w:val="20"/>
          <w:szCs w:val="20"/>
          <w:lang w:eastAsia="de-DE"/>
        </w:rPr>
        <w:t xml:space="preserve"> Agreements („Repo“, echte Wertpapierpensionsgeschäfte)</w:t>
      </w:r>
      <w:bookmarkEnd w:id="2"/>
      <w:r w:rsidRPr="00C756BA">
        <w:rPr>
          <w:rFonts w:eastAsia="Times New Roman" w:cstheme="minorHAnsi"/>
          <w:snapToGrid w:val="0"/>
          <w:color w:val="000000"/>
          <w:sz w:val="20"/>
          <w:szCs w:val="20"/>
          <w:lang w:eastAsia="de-DE"/>
        </w:rPr>
        <w:t xml:space="preserve"> und lassen keine Aussagen über zukünftige Gewinne oder Verluste zu. Eine Investitionsentscheidung sollte auf der Grundlage eines rechtsverbindlichen Prospektes bzw. rechtsverbindlicher Bedingungen erfolgen und nicht auf der Grundlage dieses Dokuments. Insbesondere die in diesem Dokument getroffenen Aussagen zur Behandlung im Rechnungs- und aufsichtsrechtlichen Meldewesen sind durch den Investor hinsichtlich der Anwendbarkeit für den konkreten Einzelfall zu überprüfen. Dieses Dokument darf vom Empfänger weder veröffentlicht noch an Dritte weitergeleitet oder Dritten zugänglich gemacht werden. Die DZ BANK übernimmt keine Haftung für Verluste oder sonstige Schäden, die durch die Verteilung/Verwendung dieses Dokuments verursacht oder mit der Verteilung/Verwendung dieses Dokuments in Zusammenhang stehen.</w:t>
      </w:r>
    </w:p>
    <w:p w14:paraId="61DDE8D9" w14:textId="77777777" w:rsidR="00C756BA" w:rsidRDefault="00C756BA" w:rsidP="003179F8">
      <w:pPr>
        <w:jc w:val="both"/>
        <w:rPr>
          <w:rFonts w:eastAsia="Times New Roman" w:cstheme="minorHAnsi"/>
          <w:snapToGrid w:val="0"/>
          <w:color w:val="000000"/>
          <w:sz w:val="24"/>
          <w:szCs w:val="24"/>
          <w:lang w:eastAsia="de-DE"/>
        </w:rPr>
      </w:pPr>
    </w:p>
    <w:p w14:paraId="5F4F9257" w14:textId="77777777" w:rsidR="00C756BA" w:rsidRPr="00815EB3" w:rsidRDefault="00C756BA" w:rsidP="00C756BA">
      <w:pPr>
        <w:rPr>
          <w:b/>
          <w:bCs/>
        </w:rPr>
      </w:pPr>
      <w:r w:rsidRPr="00815EB3">
        <w:rPr>
          <w:b/>
          <w:bCs/>
        </w:rPr>
        <w:t>Hinweise zum Dokument:</w:t>
      </w:r>
    </w:p>
    <w:p w14:paraId="0AADF697" w14:textId="030A21F2" w:rsidR="00C756BA" w:rsidRPr="00815EB3" w:rsidRDefault="00C756BA" w:rsidP="00C756BA">
      <w:r w:rsidRPr="00815EB3">
        <w:t xml:space="preserve">Diese Konzeption dient der Unterstützung und Erleichterung des Produkteinführungsprozesses (insb. Neu-Produkt-Prozess gem. AT 8.1 der MaRisk) für das Produkt </w:t>
      </w:r>
      <w:proofErr w:type="spellStart"/>
      <w:r w:rsidRPr="00C756BA">
        <w:t>Repurchase</w:t>
      </w:r>
      <w:proofErr w:type="spellEnd"/>
      <w:r w:rsidRPr="00C756BA">
        <w:t xml:space="preserve"> Agreements („Repo“, echte Wertpapierpensionsgeschäfte)</w:t>
      </w:r>
      <w:r w:rsidRPr="00815EB3">
        <w:t>.</w:t>
      </w:r>
    </w:p>
    <w:p w14:paraId="4ED9B04F" w14:textId="77777777" w:rsidR="00C756BA" w:rsidRPr="00815EB3" w:rsidRDefault="00C756BA" w:rsidP="00C756BA"/>
    <w:p w14:paraId="104D9C0C" w14:textId="77777777" w:rsidR="00C756BA" w:rsidRPr="00815EB3" w:rsidRDefault="00C756BA" w:rsidP="00C756BA">
      <w:r w:rsidRPr="00815EB3">
        <w:t xml:space="preserve">Die Darlegungen dieses Dokuments stellen hierfür einen Mindeststandard dar, der in Anbetracht der aufbau- und ablauforganisatorischen Prozesse des jeweiligen Instituts ergänzt und erweitert werden sollte sowie in die schriftlich fixierte Ordnung zu überführen ist. Soweit möglich wird auf bestehende Dokumentationen der Dienstleister der Genossenschaftlichen </w:t>
      </w:r>
      <w:proofErr w:type="spellStart"/>
      <w:r w:rsidRPr="00815EB3">
        <w:t>FinanzGruppe</w:t>
      </w:r>
      <w:proofErr w:type="spellEnd"/>
      <w:r w:rsidRPr="00815EB3">
        <w:t xml:space="preserve"> verwiesen (bspw. zur Abbildung in den relevanten IT-Systemen). </w:t>
      </w:r>
    </w:p>
    <w:p w14:paraId="0C682791" w14:textId="77777777" w:rsidR="00C756BA" w:rsidRPr="00815EB3" w:rsidRDefault="00C756BA" w:rsidP="00C756BA"/>
    <w:p w14:paraId="12C2A9CA" w14:textId="77777777" w:rsidR="00C756BA" w:rsidRPr="00815EB3" w:rsidRDefault="00C756BA" w:rsidP="00C756BA">
      <w:r w:rsidRPr="00815EB3">
        <w:t xml:space="preserve">Die Gliederung des Musterkonzepts orientiert sich an idealtypischen Funktionsbereichen, die von der Aufbauorganisation in den einzelnen Häusern abweichen kann. Der Fokus liegt auf den Aspekten und Teilprozessen, die konkret durch die Einführung des Neuproduktes beeinflusst </w:t>
      </w:r>
      <w:r w:rsidRPr="00815EB3">
        <w:lastRenderedPageBreak/>
        <w:t xml:space="preserve">werden, insbesondere hinsichtlich regulatorischer und prozessualer Anforderungen beim Einsatz des Neuprodukts. Die Darstellungen erheben hierbei keinen Anspruch auf eine vollständige Beschreibung der bankbetrieblichen Prozesse. Spezifische Anpassungen auf die jeweilige Strategie, das einzelne Haus und ggfs. Auslegung des jeweiligen Verbandes erfordern eine sorgfältige Prüfung. Insbesondere sind die Ausführungen zum Prüfungsansatz der Innenrevision zu ergänzen. </w:t>
      </w:r>
    </w:p>
    <w:p w14:paraId="50F86221" w14:textId="77777777" w:rsidR="00C756BA" w:rsidRPr="00815EB3" w:rsidRDefault="00C756BA" w:rsidP="00C756BA"/>
    <w:p w14:paraId="63D96B38" w14:textId="77777777" w:rsidR="00C756BA" w:rsidRPr="00815EB3" w:rsidRDefault="00C756BA" w:rsidP="00C756BA">
      <w:r w:rsidRPr="00815EB3">
        <w:t>Auch wenn dieses Musterkonzept mit größtmöglicher Sorgfalt erarbeitet wurde, kann eine Garantie für Vollständigkeit durch die DZ BANK AG nicht übernommen werden.</w:t>
      </w:r>
    </w:p>
    <w:p w14:paraId="26F33E61" w14:textId="77777777" w:rsidR="00C756BA" w:rsidRPr="00815EB3" w:rsidRDefault="00C756BA" w:rsidP="00C756BA"/>
    <w:p w14:paraId="5CACCC74" w14:textId="77777777" w:rsidR="00C756BA" w:rsidRPr="00815EB3" w:rsidRDefault="00C756BA" w:rsidP="00C756BA">
      <w:pPr>
        <w:rPr>
          <w:b/>
          <w:bCs/>
        </w:rPr>
      </w:pPr>
      <w:r w:rsidRPr="00815EB3">
        <w:rPr>
          <w:b/>
          <w:bCs/>
        </w:rPr>
        <w:t>Ansprechpartner:</w:t>
      </w:r>
    </w:p>
    <w:p w14:paraId="6C2C6756" w14:textId="77777777" w:rsidR="00C756BA" w:rsidRPr="00815EB3" w:rsidRDefault="00C756BA" w:rsidP="00C756BA">
      <w:r w:rsidRPr="00815EB3">
        <w:t xml:space="preserve">Bei Fragen zum Produkt oder zum Musterkonzept wenden Sie sich bitte an Ihre Ansprechpartner der DZ BANK AG für Eigengeschäft und Gesamtbanksteuerung oder an </w:t>
      </w:r>
      <w:hyperlink r:id="rId12" w:history="1">
        <w:r w:rsidRPr="00815EB3">
          <w:rPr>
            <w:rStyle w:val="Hyperlink"/>
          </w:rPr>
          <w:t>eigengeschäft@dzbank.de</w:t>
        </w:r>
      </w:hyperlink>
      <w:r w:rsidRPr="00815EB3">
        <w:t>.</w:t>
      </w:r>
    </w:p>
    <w:p w14:paraId="7E854F57" w14:textId="77777777" w:rsidR="00C756BA" w:rsidRPr="00815EB3" w:rsidRDefault="00C756BA" w:rsidP="00C756BA"/>
    <w:p w14:paraId="5B41BB9C" w14:textId="77777777" w:rsidR="00C756BA" w:rsidRPr="00815EB3" w:rsidRDefault="00C756BA" w:rsidP="00C756BA">
      <w:pPr>
        <w:rPr>
          <w:b/>
          <w:bCs/>
        </w:rPr>
      </w:pPr>
      <w:r w:rsidRPr="00815EB3">
        <w:rPr>
          <w:b/>
          <w:bCs/>
        </w:rPr>
        <w:t>Legende:</w:t>
      </w:r>
    </w:p>
    <w:p w14:paraId="03C72505" w14:textId="77777777" w:rsidR="00C756BA" w:rsidRPr="00815EB3" w:rsidRDefault="00C756BA" w:rsidP="00C756BA">
      <w:proofErr w:type="gramStart"/>
      <w:r w:rsidRPr="00815EB3">
        <w:t>[ ]</w:t>
      </w:r>
      <w:proofErr w:type="gramEnd"/>
      <w:r w:rsidRPr="00815EB3">
        <w:t>: Formulierung ist institutsindividuell zu ergänzen</w:t>
      </w:r>
    </w:p>
    <w:p w14:paraId="09E3E006" w14:textId="77777777" w:rsidR="00C756BA" w:rsidRPr="00815EB3" w:rsidRDefault="00C756BA" w:rsidP="00C756BA">
      <w:r w:rsidRPr="00815EB3">
        <w:t>[</w:t>
      </w:r>
      <w:proofErr w:type="spellStart"/>
      <w:r w:rsidRPr="00815EB3">
        <w:t>xyz</w:t>
      </w:r>
      <w:proofErr w:type="spellEnd"/>
      <w:r w:rsidRPr="00815EB3">
        <w:t>]: Inhaltliche Basis für eine institutsindividuelle Formulierung; ggf. mit Alternativen</w:t>
      </w:r>
    </w:p>
    <w:p w14:paraId="06160A4B" w14:textId="77777777" w:rsidR="00C756BA" w:rsidRPr="008334A6" w:rsidRDefault="00C756BA" w:rsidP="00C756BA">
      <w:pPr>
        <w:rPr>
          <w:i/>
          <w:iCs/>
        </w:rPr>
      </w:pPr>
      <w:r w:rsidRPr="008334A6">
        <w:rPr>
          <w:i/>
          <w:iCs/>
        </w:rPr>
        <w:t>Kursiv: Fachliche Empfehlungen/Hinweise an die Volksbank Raiffeisenbank</w:t>
      </w:r>
    </w:p>
    <w:p w14:paraId="169596FF" w14:textId="77777777" w:rsidR="00C756BA" w:rsidRPr="00815EB3" w:rsidRDefault="00C756BA" w:rsidP="00C756BA">
      <w:pPr>
        <w:rPr>
          <w:b/>
          <w:sz w:val="20"/>
        </w:rPr>
      </w:pPr>
    </w:p>
    <w:p w14:paraId="629309AF" w14:textId="03CE6D83" w:rsidR="00C756BA" w:rsidRPr="003179F8" w:rsidRDefault="00C756BA" w:rsidP="00C756BA">
      <w:pPr>
        <w:jc w:val="both"/>
        <w:rPr>
          <w:rFonts w:eastAsia="Times New Roman" w:cstheme="minorHAnsi"/>
          <w:snapToGrid w:val="0"/>
          <w:color w:val="000000"/>
          <w:sz w:val="24"/>
          <w:szCs w:val="24"/>
          <w:lang w:eastAsia="de-DE"/>
        </w:rPr>
      </w:pPr>
      <w:r w:rsidRPr="00815EB3">
        <w:br w:type="page"/>
      </w:r>
    </w:p>
    <w:sdt>
      <w:sdtPr>
        <w:rPr>
          <w:rFonts w:eastAsiaTheme="minorHAnsi" w:cstheme="minorBidi"/>
          <w:b w:val="0"/>
          <w:bCs w:val="0"/>
          <w:color w:val="000000" w:themeColor="text1"/>
          <w:sz w:val="24"/>
          <w:szCs w:val="24"/>
          <w:lang w:eastAsia="en-US"/>
        </w:rPr>
        <w:id w:val="-1524155195"/>
        <w:docPartObj>
          <w:docPartGallery w:val="Table of Contents"/>
          <w:docPartUnique/>
        </w:docPartObj>
      </w:sdtPr>
      <w:sdtEndPr/>
      <w:sdtContent>
        <w:p w14:paraId="7FC69A73" w14:textId="13056F87" w:rsidR="00D26B3D" w:rsidRPr="003179F8" w:rsidRDefault="00D26B3D" w:rsidP="003179F8">
          <w:pPr>
            <w:pStyle w:val="Inhaltsverzeichnisberschrift"/>
            <w:spacing w:before="0" w:after="100" w:line="240" w:lineRule="auto"/>
            <w:jc w:val="both"/>
            <w:rPr>
              <w:sz w:val="24"/>
              <w:szCs w:val="24"/>
            </w:rPr>
          </w:pPr>
          <w:r w:rsidRPr="003179F8">
            <w:rPr>
              <w:sz w:val="24"/>
              <w:szCs w:val="24"/>
            </w:rPr>
            <w:t>Inhalt</w:t>
          </w:r>
        </w:p>
        <w:p w14:paraId="6214C532" w14:textId="50B738D9" w:rsidR="00FF7BA1" w:rsidRDefault="00D26B3D">
          <w:pPr>
            <w:pStyle w:val="Verzeichnis1"/>
            <w:rPr>
              <w:rFonts w:asciiTheme="minorHAnsi" w:eastAsiaTheme="minorEastAsia" w:hAnsiTheme="minorHAnsi"/>
              <w:b w:val="0"/>
              <w:noProof/>
              <w:kern w:val="2"/>
              <w:lang w:eastAsia="de-DE"/>
              <w14:ligatures w14:val="standardContextual"/>
            </w:rPr>
          </w:pPr>
          <w:r w:rsidRPr="003179F8">
            <w:rPr>
              <w:sz w:val="24"/>
              <w:szCs w:val="24"/>
            </w:rPr>
            <w:fldChar w:fldCharType="begin"/>
          </w:r>
          <w:r w:rsidRPr="003179F8">
            <w:rPr>
              <w:sz w:val="24"/>
              <w:szCs w:val="24"/>
            </w:rPr>
            <w:instrText xml:space="preserve"> TOC \o "1-3" \h \z \u </w:instrText>
          </w:r>
          <w:r w:rsidRPr="003179F8">
            <w:rPr>
              <w:sz w:val="24"/>
              <w:szCs w:val="24"/>
            </w:rPr>
            <w:fldChar w:fldCharType="separate"/>
          </w:r>
          <w:hyperlink w:anchor="_Toc172294726" w:history="1">
            <w:r w:rsidR="00FF7BA1" w:rsidRPr="0006635B">
              <w:rPr>
                <w:rStyle w:val="Hyperlink"/>
                <w:rFonts w:eastAsia="Times New Roman"/>
                <w:noProof/>
                <w:snapToGrid w:val="0"/>
                <w:lang w:eastAsia="de-DE"/>
              </w:rPr>
              <w:t>1</w:t>
            </w:r>
            <w:r w:rsidR="00FF7BA1">
              <w:rPr>
                <w:rFonts w:asciiTheme="minorHAnsi" w:eastAsiaTheme="minorEastAsia" w:hAnsiTheme="minorHAnsi"/>
                <w:b w:val="0"/>
                <w:noProof/>
                <w:kern w:val="2"/>
                <w:lang w:eastAsia="de-DE"/>
                <w14:ligatures w14:val="standardContextual"/>
              </w:rPr>
              <w:tab/>
            </w:r>
            <w:r w:rsidR="00FF7BA1" w:rsidRPr="0006635B">
              <w:rPr>
                <w:rStyle w:val="Hyperlink"/>
                <w:rFonts w:eastAsia="Times New Roman"/>
                <w:noProof/>
                <w:snapToGrid w:val="0"/>
                <w:lang w:eastAsia="de-DE"/>
              </w:rPr>
              <w:t>Angaben zum Produkt</w:t>
            </w:r>
            <w:r w:rsidR="00FF7BA1">
              <w:rPr>
                <w:noProof/>
                <w:webHidden/>
              </w:rPr>
              <w:tab/>
            </w:r>
            <w:r w:rsidR="00FF7BA1">
              <w:rPr>
                <w:noProof/>
                <w:webHidden/>
              </w:rPr>
              <w:fldChar w:fldCharType="begin"/>
            </w:r>
            <w:r w:rsidR="00FF7BA1">
              <w:rPr>
                <w:noProof/>
                <w:webHidden/>
              </w:rPr>
              <w:instrText xml:space="preserve"> PAGEREF _Toc172294726 \h </w:instrText>
            </w:r>
            <w:r w:rsidR="00FF7BA1">
              <w:rPr>
                <w:noProof/>
                <w:webHidden/>
              </w:rPr>
            </w:r>
            <w:r w:rsidR="00FF7BA1">
              <w:rPr>
                <w:noProof/>
                <w:webHidden/>
              </w:rPr>
              <w:fldChar w:fldCharType="separate"/>
            </w:r>
            <w:r w:rsidR="00FF7BA1">
              <w:rPr>
                <w:noProof/>
                <w:webHidden/>
              </w:rPr>
              <w:t>5</w:t>
            </w:r>
            <w:r w:rsidR="00FF7BA1">
              <w:rPr>
                <w:noProof/>
                <w:webHidden/>
              </w:rPr>
              <w:fldChar w:fldCharType="end"/>
            </w:r>
          </w:hyperlink>
        </w:p>
        <w:p w14:paraId="51DE01CE" w14:textId="31EA941E" w:rsidR="00FF7BA1" w:rsidRDefault="00103181">
          <w:pPr>
            <w:pStyle w:val="Verzeichnis2"/>
            <w:rPr>
              <w:rFonts w:asciiTheme="minorHAnsi" w:eastAsiaTheme="minorEastAsia" w:hAnsiTheme="minorHAnsi"/>
              <w:kern w:val="2"/>
              <w:lang w:eastAsia="de-DE"/>
              <w14:ligatures w14:val="standardContextual"/>
            </w:rPr>
          </w:pPr>
          <w:hyperlink w:anchor="_Toc172294727" w:history="1">
            <w:r w:rsidR="00FF7BA1" w:rsidRPr="0006635B">
              <w:rPr>
                <w:rStyle w:val="Hyperlink"/>
                <w:rFonts w:eastAsia="Times New Roman"/>
                <w:snapToGrid w:val="0"/>
                <w:lang w:eastAsia="de-DE"/>
              </w:rPr>
              <w:t>1.1</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Produktdefinition</w:t>
            </w:r>
            <w:r w:rsidR="00FF7BA1">
              <w:rPr>
                <w:webHidden/>
              </w:rPr>
              <w:tab/>
            </w:r>
            <w:r w:rsidR="00FF7BA1">
              <w:rPr>
                <w:webHidden/>
              </w:rPr>
              <w:fldChar w:fldCharType="begin"/>
            </w:r>
            <w:r w:rsidR="00FF7BA1">
              <w:rPr>
                <w:webHidden/>
              </w:rPr>
              <w:instrText xml:space="preserve"> PAGEREF _Toc172294727 \h </w:instrText>
            </w:r>
            <w:r w:rsidR="00FF7BA1">
              <w:rPr>
                <w:webHidden/>
              </w:rPr>
            </w:r>
            <w:r w:rsidR="00FF7BA1">
              <w:rPr>
                <w:webHidden/>
              </w:rPr>
              <w:fldChar w:fldCharType="separate"/>
            </w:r>
            <w:r w:rsidR="00FF7BA1">
              <w:rPr>
                <w:webHidden/>
              </w:rPr>
              <w:t>5</w:t>
            </w:r>
            <w:r w:rsidR="00FF7BA1">
              <w:rPr>
                <w:webHidden/>
              </w:rPr>
              <w:fldChar w:fldCharType="end"/>
            </w:r>
          </w:hyperlink>
        </w:p>
        <w:p w14:paraId="4CF8123A" w14:textId="72751028" w:rsidR="00FF7BA1" w:rsidRDefault="00103181">
          <w:pPr>
            <w:pStyle w:val="Verzeichnis2"/>
            <w:rPr>
              <w:rFonts w:asciiTheme="minorHAnsi" w:eastAsiaTheme="minorEastAsia" w:hAnsiTheme="minorHAnsi"/>
              <w:kern w:val="2"/>
              <w:lang w:eastAsia="de-DE"/>
              <w14:ligatures w14:val="standardContextual"/>
            </w:rPr>
          </w:pPr>
          <w:hyperlink w:anchor="_Toc172294728" w:history="1">
            <w:r w:rsidR="00FF7BA1" w:rsidRPr="0006635B">
              <w:rPr>
                <w:rStyle w:val="Hyperlink"/>
                <w:rFonts w:eastAsia="Times New Roman"/>
                <w:snapToGrid w:val="0"/>
                <w:lang w:eastAsia="de-DE"/>
              </w:rPr>
              <w:t>1.2</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Geschäftsfeld und Zielsetzung der Einführung</w:t>
            </w:r>
            <w:r w:rsidR="00FF7BA1">
              <w:rPr>
                <w:webHidden/>
              </w:rPr>
              <w:tab/>
            </w:r>
            <w:r w:rsidR="00FF7BA1">
              <w:rPr>
                <w:webHidden/>
              </w:rPr>
              <w:fldChar w:fldCharType="begin"/>
            </w:r>
            <w:r w:rsidR="00FF7BA1">
              <w:rPr>
                <w:webHidden/>
              </w:rPr>
              <w:instrText xml:space="preserve"> PAGEREF _Toc172294728 \h </w:instrText>
            </w:r>
            <w:r w:rsidR="00FF7BA1">
              <w:rPr>
                <w:webHidden/>
              </w:rPr>
            </w:r>
            <w:r w:rsidR="00FF7BA1">
              <w:rPr>
                <w:webHidden/>
              </w:rPr>
              <w:fldChar w:fldCharType="separate"/>
            </w:r>
            <w:r w:rsidR="00FF7BA1">
              <w:rPr>
                <w:webHidden/>
              </w:rPr>
              <w:t>6</w:t>
            </w:r>
            <w:r w:rsidR="00FF7BA1">
              <w:rPr>
                <w:webHidden/>
              </w:rPr>
              <w:fldChar w:fldCharType="end"/>
            </w:r>
          </w:hyperlink>
        </w:p>
        <w:p w14:paraId="63E02577" w14:textId="1B9D7EC2" w:rsidR="00FF7BA1" w:rsidRDefault="00103181">
          <w:pPr>
            <w:pStyle w:val="Verzeichnis2"/>
            <w:rPr>
              <w:rFonts w:asciiTheme="minorHAnsi" w:eastAsiaTheme="minorEastAsia" w:hAnsiTheme="minorHAnsi"/>
              <w:kern w:val="2"/>
              <w:lang w:eastAsia="de-DE"/>
              <w14:ligatures w14:val="standardContextual"/>
            </w:rPr>
          </w:pPr>
          <w:hyperlink w:anchor="_Toc172294729" w:history="1">
            <w:r w:rsidR="00FF7BA1" w:rsidRPr="0006635B">
              <w:rPr>
                <w:rStyle w:val="Hyperlink"/>
                <w:rFonts w:eastAsia="Times New Roman"/>
                <w:snapToGrid w:val="0"/>
                <w:lang w:eastAsia="de-DE"/>
              </w:rPr>
              <w:t>1.3</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Märkte und Limitierung</w:t>
            </w:r>
            <w:r w:rsidR="00FF7BA1">
              <w:rPr>
                <w:webHidden/>
              </w:rPr>
              <w:tab/>
            </w:r>
            <w:r w:rsidR="00FF7BA1">
              <w:rPr>
                <w:webHidden/>
              </w:rPr>
              <w:fldChar w:fldCharType="begin"/>
            </w:r>
            <w:r w:rsidR="00FF7BA1">
              <w:rPr>
                <w:webHidden/>
              </w:rPr>
              <w:instrText xml:space="preserve"> PAGEREF _Toc172294729 \h </w:instrText>
            </w:r>
            <w:r w:rsidR="00FF7BA1">
              <w:rPr>
                <w:webHidden/>
              </w:rPr>
            </w:r>
            <w:r w:rsidR="00FF7BA1">
              <w:rPr>
                <w:webHidden/>
              </w:rPr>
              <w:fldChar w:fldCharType="separate"/>
            </w:r>
            <w:r w:rsidR="00FF7BA1">
              <w:rPr>
                <w:webHidden/>
              </w:rPr>
              <w:t>6</w:t>
            </w:r>
            <w:r w:rsidR="00FF7BA1">
              <w:rPr>
                <w:webHidden/>
              </w:rPr>
              <w:fldChar w:fldCharType="end"/>
            </w:r>
          </w:hyperlink>
        </w:p>
        <w:p w14:paraId="290A43BD" w14:textId="75F00C74" w:rsidR="00FF7BA1" w:rsidRDefault="00103181">
          <w:pPr>
            <w:pStyle w:val="Verzeichnis2"/>
            <w:rPr>
              <w:rFonts w:asciiTheme="minorHAnsi" w:eastAsiaTheme="minorEastAsia" w:hAnsiTheme="minorHAnsi"/>
              <w:kern w:val="2"/>
              <w:lang w:eastAsia="de-DE"/>
              <w14:ligatures w14:val="standardContextual"/>
            </w:rPr>
          </w:pPr>
          <w:hyperlink w:anchor="_Toc172294730" w:history="1">
            <w:r w:rsidR="00FF7BA1" w:rsidRPr="0006635B">
              <w:rPr>
                <w:rStyle w:val="Hyperlink"/>
                <w:rFonts w:eastAsia="Times New Roman"/>
                <w:snapToGrid w:val="0"/>
                <w:lang w:eastAsia="de-DE"/>
              </w:rPr>
              <w:t>1.4</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Informationsquellen und Qualifizierung</w:t>
            </w:r>
            <w:r w:rsidR="00FF7BA1">
              <w:rPr>
                <w:webHidden/>
              </w:rPr>
              <w:tab/>
            </w:r>
            <w:r w:rsidR="00FF7BA1">
              <w:rPr>
                <w:webHidden/>
              </w:rPr>
              <w:fldChar w:fldCharType="begin"/>
            </w:r>
            <w:r w:rsidR="00FF7BA1">
              <w:rPr>
                <w:webHidden/>
              </w:rPr>
              <w:instrText xml:space="preserve"> PAGEREF _Toc172294730 \h </w:instrText>
            </w:r>
            <w:r w:rsidR="00FF7BA1">
              <w:rPr>
                <w:webHidden/>
              </w:rPr>
            </w:r>
            <w:r w:rsidR="00FF7BA1">
              <w:rPr>
                <w:webHidden/>
              </w:rPr>
              <w:fldChar w:fldCharType="separate"/>
            </w:r>
            <w:r w:rsidR="00FF7BA1">
              <w:rPr>
                <w:webHidden/>
              </w:rPr>
              <w:t>6</w:t>
            </w:r>
            <w:r w:rsidR="00FF7BA1">
              <w:rPr>
                <w:webHidden/>
              </w:rPr>
              <w:fldChar w:fldCharType="end"/>
            </w:r>
          </w:hyperlink>
        </w:p>
        <w:p w14:paraId="09D566A8" w14:textId="68916FE8" w:rsidR="00FF7BA1" w:rsidRDefault="00103181">
          <w:pPr>
            <w:pStyle w:val="Verzeichnis1"/>
            <w:rPr>
              <w:rFonts w:asciiTheme="minorHAnsi" w:eastAsiaTheme="minorEastAsia" w:hAnsiTheme="minorHAnsi"/>
              <w:b w:val="0"/>
              <w:noProof/>
              <w:kern w:val="2"/>
              <w:lang w:eastAsia="de-DE"/>
              <w14:ligatures w14:val="standardContextual"/>
            </w:rPr>
          </w:pPr>
          <w:hyperlink w:anchor="_Toc172294731" w:history="1">
            <w:r w:rsidR="00FF7BA1" w:rsidRPr="0006635B">
              <w:rPr>
                <w:rStyle w:val="Hyperlink"/>
                <w:rFonts w:eastAsia="Times New Roman"/>
                <w:noProof/>
                <w:snapToGrid w:val="0"/>
                <w:lang w:eastAsia="de-DE"/>
              </w:rPr>
              <w:t>2</w:t>
            </w:r>
            <w:r w:rsidR="00FF7BA1">
              <w:rPr>
                <w:rFonts w:asciiTheme="minorHAnsi" w:eastAsiaTheme="minorEastAsia" w:hAnsiTheme="minorHAnsi"/>
                <w:b w:val="0"/>
                <w:noProof/>
                <w:kern w:val="2"/>
                <w:lang w:eastAsia="de-DE"/>
                <w14:ligatures w14:val="standardContextual"/>
              </w:rPr>
              <w:tab/>
            </w:r>
            <w:r w:rsidR="00FF7BA1" w:rsidRPr="0006635B">
              <w:rPr>
                <w:rStyle w:val="Hyperlink"/>
                <w:rFonts w:eastAsia="Times New Roman"/>
                <w:noProof/>
                <w:snapToGrid w:val="0"/>
                <w:lang w:eastAsia="de-DE"/>
              </w:rPr>
              <w:t>Handelsprozesse</w:t>
            </w:r>
            <w:r w:rsidR="00FF7BA1">
              <w:rPr>
                <w:noProof/>
                <w:webHidden/>
              </w:rPr>
              <w:tab/>
            </w:r>
            <w:r w:rsidR="00FF7BA1">
              <w:rPr>
                <w:noProof/>
                <w:webHidden/>
              </w:rPr>
              <w:fldChar w:fldCharType="begin"/>
            </w:r>
            <w:r w:rsidR="00FF7BA1">
              <w:rPr>
                <w:noProof/>
                <w:webHidden/>
              </w:rPr>
              <w:instrText xml:space="preserve"> PAGEREF _Toc172294731 \h </w:instrText>
            </w:r>
            <w:r w:rsidR="00FF7BA1">
              <w:rPr>
                <w:noProof/>
                <w:webHidden/>
              </w:rPr>
            </w:r>
            <w:r w:rsidR="00FF7BA1">
              <w:rPr>
                <w:noProof/>
                <w:webHidden/>
              </w:rPr>
              <w:fldChar w:fldCharType="separate"/>
            </w:r>
            <w:r w:rsidR="00FF7BA1">
              <w:rPr>
                <w:noProof/>
                <w:webHidden/>
              </w:rPr>
              <w:t>7</w:t>
            </w:r>
            <w:r w:rsidR="00FF7BA1">
              <w:rPr>
                <w:noProof/>
                <w:webHidden/>
              </w:rPr>
              <w:fldChar w:fldCharType="end"/>
            </w:r>
          </w:hyperlink>
        </w:p>
        <w:p w14:paraId="5ACFE8F6" w14:textId="201A1BF1" w:rsidR="00FF7BA1" w:rsidRDefault="00103181">
          <w:pPr>
            <w:pStyle w:val="Verzeichnis2"/>
            <w:rPr>
              <w:rFonts w:asciiTheme="minorHAnsi" w:eastAsiaTheme="minorEastAsia" w:hAnsiTheme="minorHAnsi"/>
              <w:kern w:val="2"/>
              <w:lang w:eastAsia="de-DE"/>
              <w14:ligatures w14:val="standardContextual"/>
            </w:rPr>
          </w:pPr>
          <w:hyperlink w:anchor="_Toc172294732" w:history="1">
            <w:r w:rsidR="00FF7BA1" w:rsidRPr="0006635B">
              <w:rPr>
                <w:rStyle w:val="Hyperlink"/>
                <w:rFonts w:eastAsia="Times New Roman"/>
                <w:snapToGrid w:val="0"/>
                <w:lang w:eastAsia="de-DE"/>
              </w:rPr>
              <w:t>2.1</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Händlerzettel</w:t>
            </w:r>
            <w:r w:rsidR="00FF7BA1">
              <w:rPr>
                <w:webHidden/>
              </w:rPr>
              <w:tab/>
            </w:r>
            <w:r w:rsidR="00FF7BA1">
              <w:rPr>
                <w:webHidden/>
              </w:rPr>
              <w:fldChar w:fldCharType="begin"/>
            </w:r>
            <w:r w:rsidR="00FF7BA1">
              <w:rPr>
                <w:webHidden/>
              </w:rPr>
              <w:instrText xml:space="preserve"> PAGEREF _Toc172294732 \h </w:instrText>
            </w:r>
            <w:r w:rsidR="00FF7BA1">
              <w:rPr>
                <w:webHidden/>
              </w:rPr>
            </w:r>
            <w:r w:rsidR="00FF7BA1">
              <w:rPr>
                <w:webHidden/>
              </w:rPr>
              <w:fldChar w:fldCharType="separate"/>
            </w:r>
            <w:r w:rsidR="00FF7BA1">
              <w:rPr>
                <w:webHidden/>
              </w:rPr>
              <w:t>7</w:t>
            </w:r>
            <w:r w:rsidR="00FF7BA1">
              <w:rPr>
                <w:webHidden/>
              </w:rPr>
              <w:fldChar w:fldCharType="end"/>
            </w:r>
          </w:hyperlink>
        </w:p>
        <w:p w14:paraId="75290C77" w14:textId="13233DED" w:rsidR="00FF7BA1" w:rsidRDefault="00103181">
          <w:pPr>
            <w:pStyle w:val="Verzeichnis2"/>
            <w:rPr>
              <w:rFonts w:asciiTheme="minorHAnsi" w:eastAsiaTheme="minorEastAsia" w:hAnsiTheme="minorHAnsi"/>
              <w:kern w:val="2"/>
              <w:lang w:eastAsia="de-DE"/>
              <w14:ligatures w14:val="standardContextual"/>
            </w:rPr>
          </w:pPr>
          <w:hyperlink w:anchor="_Toc172294733" w:history="1">
            <w:r w:rsidR="00FF7BA1" w:rsidRPr="0006635B">
              <w:rPr>
                <w:rStyle w:val="Hyperlink"/>
                <w:rFonts w:eastAsia="Times New Roman"/>
                <w:snapToGrid w:val="0"/>
                <w:lang w:eastAsia="de-DE"/>
              </w:rPr>
              <w:t>2.2</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Limitüberprüfung</w:t>
            </w:r>
            <w:r w:rsidR="00FF7BA1">
              <w:rPr>
                <w:webHidden/>
              </w:rPr>
              <w:tab/>
            </w:r>
            <w:r w:rsidR="00FF7BA1">
              <w:rPr>
                <w:webHidden/>
              </w:rPr>
              <w:fldChar w:fldCharType="begin"/>
            </w:r>
            <w:r w:rsidR="00FF7BA1">
              <w:rPr>
                <w:webHidden/>
              </w:rPr>
              <w:instrText xml:space="preserve"> PAGEREF _Toc172294733 \h </w:instrText>
            </w:r>
            <w:r w:rsidR="00FF7BA1">
              <w:rPr>
                <w:webHidden/>
              </w:rPr>
            </w:r>
            <w:r w:rsidR="00FF7BA1">
              <w:rPr>
                <w:webHidden/>
              </w:rPr>
              <w:fldChar w:fldCharType="separate"/>
            </w:r>
            <w:r w:rsidR="00FF7BA1">
              <w:rPr>
                <w:webHidden/>
              </w:rPr>
              <w:t>7</w:t>
            </w:r>
            <w:r w:rsidR="00FF7BA1">
              <w:rPr>
                <w:webHidden/>
              </w:rPr>
              <w:fldChar w:fldCharType="end"/>
            </w:r>
          </w:hyperlink>
        </w:p>
        <w:p w14:paraId="42D02F09" w14:textId="656F64FA" w:rsidR="00FF7BA1" w:rsidRDefault="00103181">
          <w:pPr>
            <w:pStyle w:val="Verzeichnis2"/>
            <w:rPr>
              <w:rFonts w:asciiTheme="minorHAnsi" w:eastAsiaTheme="minorEastAsia" w:hAnsiTheme="minorHAnsi"/>
              <w:kern w:val="2"/>
              <w:lang w:eastAsia="de-DE"/>
              <w14:ligatures w14:val="standardContextual"/>
            </w:rPr>
          </w:pPr>
          <w:hyperlink w:anchor="_Toc172294734" w:history="1">
            <w:r w:rsidR="00FF7BA1" w:rsidRPr="0006635B">
              <w:rPr>
                <w:rStyle w:val="Hyperlink"/>
                <w:rFonts w:eastAsia="Times New Roman"/>
                <w:snapToGrid w:val="0"/>
                <w:lang w:eastAsia="de-DE"/>
              </w:rPr>
              <w:t>2.3</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Prozessuale Hinweise</w:t>
            </w:r>
            <w:r w:rsidR="00FF7BA1">
              <w:rPr>
                <w:webHidden/>
              </w:rPr>
              <w:tab/>
            </w:r>
            <w:r w:rsidR="00FF7BA1">
              <w:rPr>
                <w:webHidden/>
              </w:rPr>
              <w:fldChar w:fldCharType="begin"/>
            </w:r>
            <w:r w:rsidR="00FF7BA1">
              <w:rPr>
                <w:webHidden/>
              </w:rPr>
              <w:instrText xml:space="preserve"> PAGEREF _Toc172294734 \h </w:instrText>
            </w:r>
            <w:r w:rsidR="00FF7BA1">
              <w:rPr>
                <w:webHidden/>
              </w:rPr>
            </w:r>
            <w:r w:rsidR="00FF7BA1">
              <w:rPr>
                <w:webHidden/>
              </w:rPr>
              <w:fldChar w:fldCharType="separate"/>
            </w:r>
            <w:r w:rsidR="00FF7BA1">
              <w:rPr>
                <w:webHidden/>
              </w:rPr>
              <w:t>7</w:t>
            </w:r>
            <w:r w:rsidR="00FF7BA1">
              <w:rPr>
                <w:webHidden/>
              </w:rPr>
              <w:fldChar w:fldCharType="end"/>
            </w:r>
          </w:hyperlink>
        </w:p>
        <w:p w14:paraId="47A94536" w14:textId="06F4BA0A" w:rsidR="00FF7BA1" w:rsidRDefault="00103181">
          <w:pPr>
            <w:pStyle w:val="Verzeichnis2"/>
            <w:rPr>
              <w:rFonts w:asciiTheme="minorHAnsi" w:eastAsiaTheme="minorEastAsia" w:hAnsiTheme="minorHAnsi"/>
              <w:kern w:val="2"/>
              <w:lang w:eastAsia="de-DE"/>
              <w14:ligatures w14:val="standardContextual"/>
            </w:rPr>
          </w:pPr>
          <w:hyperlink w:anchor="_Toc172294735" w:history="1">
            <w:r w:rsidR="00FF7BA1" w:rsidRPr="0006635B">
              <w:rPr>
                <w:rStyle w:val="Hyperlink"/>
                <w:rFonts w:eastAsia="Times New Roman"/>
                <w:snapToGrid w:val="0"/>
                <w:lang w:eastAsia="de-DE"/>
              </w:rPr>
              <w:t>2.4</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Kompetenzregelungen</w:t>
            </w:r>
            <w:r w:rsidR="00FF7BA1">
              <w:rPr>
                <w:webHidden/>
              </w:rPr>
              <w:tab/>
            </w:r>
            <w:r w:rsidR="00FF7BA1">
              <w:rPr>
                <w:webHidden/>
              </w:rPr>
              <w:fldChar w:fldCharType="begin"/>
            </w:r>
            <w:r w:rsidR="00FF7BA1">
              <w:rPr>
                <w:webHidden/>
              </w:rPr>
              <w:instrText xml:space="preserve"> PAGEREF _Toc172294735 \h </w:instrText>
            </w:r>
            <w:r w:rsidR="00FF7BA1">
              <w:rPr>
                <w:webHidden/>
              </w:rPr>
            </w:r>
            <w:r w:rsidR="00FF7BA1">
              <w:rPr>
                <w:webHidden/>
              </w:rPr>
              <w:fldChar w:fldCharType="separate"/>
            </w:r>
            <w:r w:rsidR="00FF7BA1">
              <w:rPr>
                <w:webHidden/>
              </w:rPr>
              <w:t>7</w:t>
            </w:r>
            <w:r w:rsidR="00FF7BA1">
              <w:rPr>
                <w:webHidden/>
              </w:rPr>
              <w:fldChar w:fldCharType="end"/>
            </w:r>
          </w:hyperlink>
        </w:p>
        <w:p w14:paraId="43D0F365" w14:textId="777D95A0" w:rsidR="00FF7BA1" w:rsidRDefault="00103181">
          <w:pPr>
            <w:pStyle w:val="Verzeichnis2"/>
            <w:rPr>
              <w:rFonts w:asciiTheme="minorHAnsi" w:eastAsiaTheme="minorEastAsia" w:hAnsiTheme="minorHAnsi"/>
              <w:kern w:val="2"/>
              <w:lang w:eastAsia="de-DE"/>
              <w14:ligatures w14:val="standardContextual"/>
            </w:rPr>
          </w:pPr>
          <w:hyperlink w:anchor="_Toc172294736" w:history="1">
            <w:r w:rsidR="00FF7BA1" w:rsidRPr="0006635B">
              <w:rPr>
                <w:rStyle w:val="Hyperlink"/>
                <w:rFonts w:eastAsia="Times New Roman"/>
                <w:snapToGrid w:val="0"/>
                <w:lang w:eastAsia="de-DE"/>
              </w:rPr>
              <w:t>2.5</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Dokumentation</w:t>
            </w:r>
            <w:r w:rsidR="00FF7BA1">
              <w:rPr>
                <w:webHidden/>
              </w:rPr>
              <w:tab/>
            </w:r>
            <w:r w:rsidR="00FF7BA1">
              <w:rPr>
                <w:webHidden/>
              </w:rPr>
              <w:fldChar w:fldCharType="begin"/>
            </w:r>
            <w:r w:rsidR="00FF7BA1">
              <w:rPr>
                <w:webHidden/>
              </w:rPr>
              <w:instrText xml:space="preserve"> PAGEREF _Toc172294736 \h </w:instrText>
            </w:r>
            <w:r w:rsidR="00FF7BA1">
              <w:rPr>
                <w:webHidden/>
              </w:rPr>
            </w:r>
            <w:r w:rsidR="00FF7BA1">
              <w:rPr>
                <w:webHidden/>
              </w:rPr>
              <w:fldChar w:fldCharType="separate"/>
            </w:r>
            <w:r w:rsidR="00FF7BA1">
              <w:rPr>
                <w:webHidden/>
              </w:rPr>
              <w:t>7</w:t>
            </w:r>
            <w:r w:rsidR="00FF7BA1">
              <w:rPr>
                <w:webHidden/>
              </w:rPr>
              <w:fldChar w:fldCharType="end"/>
            </w:r>
          </w:hyperlink>
        </w:p>
        <w:p w14:paraId="42164E2C" w14:textId="68D2EA53" w:rsidR="00FF7BA1" w:rsidRDefault="00103181">
          <w:pPr>
            <w:pStyle w:val="Verzeichnis1"/>
            <w:rPr>
              <w:rFonts w:asciiTheme="minorHAnsi" w:eastAsiaTheme="minorEastAsia" w:hAnsiTheme="minorHAnsi"/>
              <w:b w:val="0"/>
              <w:noProof/>
              <w:kern w:val="2"/>
              <w:lang w:eastAsia="de-DE"/>
              <w14:ligatures w14:val="standardContextual"/>
            </w:rPr>
          </w:pPr>
          <w:hyperlink w:anchor="_Toc172294737" w:history="1">
            <w:r w:rsidR="00FF7BA1" w:rsidRPr="0006635B">
              <w:rPr>
                <w:rStyle w:val="Hyperlink"/>
                <w:rFonts w:eastAsia="Times New Roman"/>
                <w:noProof/>
                <w:snapToGrid w:val="0"/>
                <w:lang w:eastAsia="de-DE"/>
              </w:rPr>
              <w:t>3</w:t>
            </w:r>
            <w:r w:rsidR="00FF7BA1">
              <w:rPr>
                <w:rFonts w:asciiTheme="minorHAnsi" w:eastAsiaTheme="minorEastAsia" w:hAnsiTheme="minorHAnsi"/>
                <w:b w:val="0"/>
                <w:noProof/>
                <w:kern w:val="2"/>
                <w:lang w:eastAsia="de-DE"/>
                <w14:ligatures w14:val="standardContextual"/>
              </w:rPr>
              <w:tab/>
            </w:r>
            <w:r w:rsidR="00FF7BA1" w:rsidRPr="0006635B">
              <w:rPr>
                <w:rStyle w:val="Hyperlink"/>
                <w:rFonts w:eastAsia="Times New Roman"/>
                <w:noProof/>
                <w:snapToGrid w:val="0"/>
                <w:lang w:eastAsia="de-DE"/>
              </w:rPr>
              <w:t>Marktfolge / Abwicklung und Kontrolle</w:t>
            </w:r>
            <w:r w:rsidR="00FF7BA1">
              <w:rPr>
                <w:noProof/>
                <w:webHidden/>
              </w:rPr>
              <w:tab/>
            </w:r>
            <w:r w:rsidR="00FF7BA1">
              <w:rPr>
                <w:noProof/>
                <w:webHidden/>
              </w:rPr>
              <w:fldChar w:fldCharType="begin"/>
            </w:r>
            <w:r w:rsidR="00FF7BA1">
              <w:rPr>
                <w:noProof/>
                <w:webHidden/>
              </w:rPr>
              <w:instrText xml:space="preserve"> PAGEREF _Toc172294737 \h </w:instrText>
            </w:r>
            <w:r w:rsidR="00FF7BA1">
              <w:rPr>
                <w:noProof/>
                <w:webHidden/>
              </w:rPr>
            </w:r>
            <w:r w:rsidR="00FF7BA1">
              <w:rPr>
                <w:noProof/>
                <w:webHidden/>
              </w:rPr>
              <w:fldChar w:fldCharType="separate"/>
            </w:r>
            <w:r w:rsidR="00FF7BA1">
              <w:rPr>
                <w:noProof/>
                <w:webHidden/>
              </w:rPr>
              <w:t>8</w:t>
            </w:r>
            <w:r w:rsidR="00FF7BA1">
              <w:rPr>
                <w:noProof/>
                <w:webHidden/>
              </w:rPr>
              <w:fldChar w:fldCharType="end"/>
            </w:r>
          </w:hyperlink>
        </w:p>
        <w:p w14:paraId="6CC1B7B6" w14:textId="2D04F769" w:rsidR="00FF7BA1" w:rsidRDefault="00103181">
          <w:pPr>
            <w:pStyle w:val="Verzeichnis2"/>
            <w:rPr>
              <w:rFonts w:asciiTheme="minorHAnsi" w:eastAsiaTheme="minorEastAsia" w:hAnsiTheme="minorHAnsi"/>
              <w:kern w:val="2"/>
              <w:lang w:eastAsia="de-DE"/>
              <w14:ligatures w14:val="standardContextual"/>
            </w:rPr>
          </w:pPr>
          <w:hyperlink w:anchor="_Toc172294738" w:history="1">
            <w:r w:rsidR="00FF7BA1" w:rsidRPr="0006635B">
              <w:rPr>
                <w:rStyle w:val="Hyperlink"/>
                <w:rFonts w:eastAsia="Times New Roman"/>
                <w:snapToGrid w:val="0"/>
                <w:lang w:eastAsia="de-DE"/>
              </w:rPr>
              <w:t>3.1</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Zuständige Personen / Kompetenzen</w:t>
            </w:r>
            <w:r w:rsidR="00FF7BA1">
              <w:rPr>
                <w:webHidden/>
              </w:rPr>
              <w:tab/>
            </w:r>
            <w:r w:rsidR="00FF7BA1">
              <w:rPr>
                <w:webHidden/>
              </w:rPr>
              <w:fldChar w:fldCharType="begin"/>
            </w:r>
            <w:r w:rsidR="00FF7BA1">
              <w:rPr>
                <w:webHidden/>
              </w:rPr>
              <w:instrText xml:space="preserve"> PAGEREF _Toc172294738 \h </w:instrText>
            </w:r>
            <w:r w:rsidR="00FF7BA1">
              <w:rPr>
                <w:webHidden/>
              </w:rPr>
            </w:r>
            <w:r w:rsidR="00FF7BA1">
              <w:rPr>
                <w:webHidden/>
              </w:rPr>
              <w:fldChar w:fldCharType="separate"/>
            </w:r>
            <w:r w:rsidR="00FF7BA1">
              <w:rPr>
                <w:webHidden/>
              </w:rPr>
              <w:t>8</w:t>
            </w:r>
            <w:r w:rsidR="00FF7BA1">
              <w:rPr>
                <w:webHidden/>
              </w:rPr>
              <w:fldChar w:fldCharType="end"/>
            </w:r>
          </w:hyperlink>
        </w:p>
        <w:p w14:paraId="5EB1B721" w14:textId="274DDC27" w:rsidR="00FF7BA1" w:rsidRDefault="00103181">
          <w:pPr>
            <w:pStyle w:val="Verzeichnis2"/>
            <w:rPr>
              <w:rFonts w:asciiTheme="minorHAnsi" w:eastAsiaTheme="minorEastAsia" w:hAnsiTheme="minorHAnsi"/>
              <w:kern w:val="2"/>
              <w:lang w:eastAsia="de-DE"/>
              <w14:ligatures w14:val="standardContextual"/>
            </w:rPr>
          </w:pPr>
          <w:hyperlink w:anchor="_Toc172294739" w:history="1">
            <w:r w:rsidR="00FF7BA1" w:rsidRPr="0006635B">
              <w:rPr>
                <w:rStyle w:val="Hyperlink"/>
                <w:rFonts w:eastAsia="Times New Roman"/>
                <w:snapToGrid w:val="0"/>
                <w:lang w:eastAsia="de-DE"/>
              </w:rPr>
              <w:t>3.2</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Erforderliche Unterlagen / Kontrollen</w:t>
            </w:r>
            <w:r w:rsidR="00FF7BA1">
              <w:rPr>
                <w:webHidden/>
              </w:rPr>
              <w:tab/>
            </w:r>
            <w:r w:rsidR="00FF7BA1">
              <w:rPr>
                <w:webHidden/>
              </w:rPr>
              <w:fldChar w:fldCharType="begin"/>
            </w:r>
            <w:r w:rsidR="00FF7BA1">
              <w:rPr>
                <w:webHidden/>
              </w:rPr>
              <w:instrText xml:space="preserve"> PAGEREF _Toc172294739 \h </w:instrText>
            </w:r>
            <w:r w:rsidR="00FF7BA1">
              <w:rPr>
                <w:webHidden/>
              </w:rPr>
            </w:r>
            <w:r w:rsidR="00FF7BA1">
              <w:rPr>
                <w:webHidden/>
              </w:rPr>
              <w:fldChar w:fldCharType="separate"/>
            </w:r>
            <w:r w:rsidR="00FF7BA1">
              <w:rPr>
                <w:webHidden/>
              </w:rPr>
              <w:t>8</w:t>
            </w:r>
            <w:r w:rsidR="00FF7BA1">
              <w:rPr>
                <w:webHidden/>
              </w:rPr>
              <w:fldChar w:fldCharType="end"/>
            </w:r>
          </w:hyperlink>
        </w:p>
        <w:p w14:paraId="62CB4A1F" w14:textId="431924A5" w:rsidR="00FF7BA1" w:rsidRDefault="00103181">
          <w:pPr>
            <w:pStyle w:val="Verzeichnis2"/>
            <w:rPr>
              <w:rFonts w:asciiTheme="minorHAnsi" w:eastAsiaTheme="minorEastAsia" w:hAnsiTheme="minorHAnsi"/>
              <w:kern w:val="2"/>
              <w:lang w:eastAsia="de-DE"/>
              <w14:ligatures w14:val="standardContextual"/>
            </w:rPr>
          </w:pPr>
          <w:hyperlink w:anchor="_Toc172294740" w:history="1">
            <w:r w:rsidR="00FF7BA1" w:rsidRPr="0006635B">
              <w:rPr>
                <w:rStyle w:val="Hyperlink"/>
                <w:rFonts w:eastAsia="Times New Roman"/>
                <w:snapToGrid w:val="0"/>
                <w:lang w:eastAsia="de-DE"/>
              </w:rPr>
              <w:t>3.3</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Marktgerechtigkeitskontrolle</w:t>
            </w:r>
            <w:r w:rsidR="00FF7BA1">
              <w:rPr>
                <w:webHidden/>
              </w:rPr>
              <w:tab/>
            </w:r>
            <w:r w:rsidR="00FF7BA1">
              <w:rPr>
                <w:webHidden/>
              </w:rPr>
              <w:fldChar w:fldCharType="begin"/>
            </w:r>
            <w:r w:rsidR="00FF7BA1">
              <w:rPr>
                <w:webHidden/>
              </w:rPr>
              <w:instrText xml:space="preserve"> PAGEREF _Toc172294740 \h </w:instrText>
            </w:r>
            <w:r w:rsidR="00FF7BA1">
              <w:rPr>
                <w:webHidden/>
              </w:rPr>
            </w:r>
            <w:r w:rsidR="00FF7BA1">
              <w:rPr>
                <w:webHidden/>
              </w:rPr>
              <w:fldChar w:fldCharType="separate"/>
            </w:r>
            <w:r w:rsidR="00FF7BA1">
              <w:rPr>
                <w:webHidden/>
              </w:rPr>
              <w:t>8</w:t>
            </w:r>
            <w:r w:rsidR="00FF7BA1">
              <w:rPr>
                <w:webHidden/>
              </w:rPr>
              <w:fldChar w:fldCharType="end"/>
            </w:r>
          </w:hyperlink>
        </w:p>
        <w:p w14:paraId="2BE77F00" w14:textId="28B061D2" w:rsidR="00FF7BA1" w:rsidRDefault="00103181">
          <w:pPr>
            <w:pStyle w:val="Verzeichnis2"/>
            <w:rPr>
              <w:rFonts w:asciiTheme="minorHAnsi" w:eastAsiaTheme="minorEastAsia" w:hAnsiTheme="minorHAnsi"/>
              <w:kern w:val="2"/>
              <w:lang w:eastAsia="de-DE"/>
              <w14:ligatures w14:val="standardContextual"/>
            </w:rPr>
          </w:pPr>
          <w:hyperlink w:anchor="_Toc172294741" w:history="1">
            <w:r w:rsidR="00FF7BA1" w:rsidRPr="0006635B">
              <w:rPr>
                <w:rStyle w:val="Hyperlink"/>
                <w:rFonts w:eastAsia="Times New Roman"/>
                <w:snapToGrid w:val="0"/>
                <w:lang w:eastAsia="de-DE"/>
              </w:rPr>
              <w:t>3.4</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Weitere Anforderungen</w:t>
            </w:r>
            <w:r w:rsidR="00FF7BA1">
              <w:rPr>
                <w:webHidden/>
              </w:rPr>
              <w:tab/>
            </w:r>
            <w:r w:rsidR="00FF7BA1">
              <w:rPr>
                <w:webHidden/>
              </w:rPr>
              <w:fldChar w:fldCharType="begin"/>
            </w:r>
            <w:r w:rsidR="00FF7BA1">
              <w:rPr>
                <w:webHidden/>
              </w:rPr>
              <w:instrText xml:space="preserve"> PAGEREF _Toc172294741 \h </w:instrText>
            </w:r>
            <w:r w:rsidR="00FF7BA1">
              <w:rPr>
                <w:webHidden/>
              </w:rPr>
            </w:r>
            <w:r w:rsidR="00FF7BA1">
              <w:rPr>
                <w:webHidden/>
              </w:rPr>
              <w:fldChar w:fldCharType="separate"/>
            </w:r>
            <w:r w:rsidR="00FF7BA1">
              <w:rPr>
                <w:webHidden/>
              </w:rPr>
              <w:t>9</w:t>
            </w:r>
            <w:r w:rsidR="00FF7BA1">
              <w:rPr>
                <w:webHidden/>
              </w:rPr>
              <w:fldChar w:fldCharType="end"/>
            </w:r>
          </w:hyperlink>
        </w:p>
        <w:p w14:paraId="6AFFE084" w14:textId="2C38D3A2"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42" w:history="1">
            <w:r w:rsidR="00FF7BA1" w:rsidRPr="0006635B">
              <w:rPr>
                <w:rStyle w:val="Hyperlink"/>
                <w:rFonts w:eastAsia="Times New Roman"/>
                <w:noProof/>
                <w:snapToGrid w:val="0"/>
                <w:lang w:eastAsia="de-DE"/>
              </w:rPr>
              <w:t>3.4.1</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EMIR</w:t>
            </w:r>
            <w:r w:rsidR="00FF7BA1">
              <w:rPr>
                <w:noProof/>
                <w:webHidden/>
              </w:rPr>
              <w:tab/>
            </w:r>
            <w:r w:rsidR="00FF7BA1">
              <w:rPr>
                <w:noProof/>
                <w:webHidden/>
              </w:rPr>
              <w:tab/>
            </w:r>
            <w:r w:rsidR="00FF7BA1">
              <w:rPr>
                <w:noProof/>
                <w:webHidden/>
              </w:rPr>
              <w:tab/>
            </w:r>
            <w:r w:rsidR="00FF7BA1">
              <w:rPr>
                <w:noProof/>
                <w:webHidden/>
              </w:rPr>
              <w:fldChar w:fldCharType="begin"/>
            </w:r>
            <w:r w:rsidR="00FF7BA1">
              <w:rPr>
                <w:noProof/>
                <w:webHidden/>
              </w:rPr>
              <w:instrText xml:space="preserve"> PAGEREF _Toc172294742 \h </w:instrText>
            </w:r>
            <w:r w:rsidR="00FF7BA1">
              <w:rPr>
                <w:noProof/>
                <w:webHidden/>
              </w:rPr>
            </w:r>
            <w:r w:rsidR="00FF7BA1">
              <w:rPr>
                <w:noProof/>
                <w:webHidden/>
              </w:rPr>
              <w:fldChar w:fldCharType="separate"/>
            </w:r>
            <w:r w:rsidR="00FF7BA1">
              <w:rPr>
                <w:noProof/>
                <w:webHidden/>
              </w:rPr>
              <w:t>9</w:t>
            </w:r>
            <w:r w:rsidR="00FF7BA1">
              <w:rPr>
                <w:noProof/>
                <w:webHidden/>
              </w:rPr>
              <w:fldChar w:fldCharType="end"/>
            </w:r>
          </w:hyperlink>
        </w:p>
        <w:p w14:paraId="755506A9" w14:textId="5739BA70"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43" w:history="1">
            <w:r w:rsidR="00FF7BA1" w:rsidRPr="0006635B">
              <w:rPr>
                <w:rStyle w:val="Hyperlink"/>
                <w:rFonts w:eastAsia="Times New Roman"/>
                <w:noProof/>
                <w:snapToGrid w:val="0"/>
                <w:lang w:eastAsia="de-DE"/>
              </w:rPr>
              <w:t>3.4.2</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SFTR</w:t>
            </w:r>
            <w:r w:rsidR="00FF7BA1">
              <w:rPr>
                <w:noProof/>
                <w:webHidden/>
              </w:rPr>
              <w:tab/>
            </w:r>
            <w:r w:rsidR="00FF7BA1">
              <w:rPr>
                <w:noProof/>
                <w:webHidden/>
              </w:rPr>
              <w:tab/>
            </w:r>
            <w:r w:rsidR="00FF7BA1">
              <w:rPr>
                <w:noProof/>
                <w:webHidden/>
              </w:rPr>
              <w:tab/>
            </w:r>
            <w:r w:rsidR="00FF7BA1">
              <w:rPr>
                <w:noProof/>
                <w:webHidden/>
              </w:rPr>
              <w:fldChar w:fldCharType="begin"/>
            </w:r>
            <w:r w:rsidR="00FF7BA1">
              <w:rPr>
                <w:noProof/>
                <w:webHidden/>
              </w:rPr>
              <w:instrText xml:space="preserve"> PAGEREF _Toc172294743 \h </w:instrText>
            </w:r>
            <w:r w:rsidR="00FF7BA1">
              <w:rPr>
                <w:noProof/>
                <w:webHidden/>
              </w:rPr>
            </w:r>
            <w:r w:rsidR="00FF7BA1">
              <w:rPr>
                <w:noProof/>
                <w:webHidden/>
              </w:rPr>
              <w:fldChar w:fldCharType="separate"/>
            </w:r>
            <w:r w:rsidR="00FF7BA1">
              <w:rPr>
                <w:noProof/>
                <w:webHidden/>
              </w:rPr>
              <w:t>9</w:t>
            </w:r>
            <w:r w:rsidR="00FF7BA1">
              <w:rPr>
                <w:noProof/>
                <w:webHidden/>
              </w:rPr>
              <w:fldChar w:fldCharType="end"/>
            </w:r>
          </w:hyperlink>
        </w:p>
        <w:p w14:paraId="59ED7203" w14:textId="5ADA375E"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44" w:history="1">
            <w:r w:rsidR="00FF7BA1" w:rsidRPr="0006635B">
              <w:rPr>
                <w:rStyle w:val="Hyperlink"/>
                <w:rFonts w:eastAsia="Times New Roman"/>
                <w:noProof/>
                <w:snapToGrid w:val="0"/>
                <w:lang w:eastAsia="de-DE"/>
              </w:rPr>
              <w:t>3.4.3</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Sonstige Anforderungen</w:t>
            </w:r>
            <w:r w:rsidR="00FF7BA1">
              <w:rPr>
                <w:noProof/>
                <w:webHidden/>
              </w:rPr>
              <w:tab/>
            </w:r>
            <w:r w:rsidR="00FF7BA1">
              <w:rPr>
                <w:noProof/>
                <w:webHidden/>
              </w:rPr>
              <w:fldChar w:fldCharType="begin"/>
            </w:r>
            <w:r w:rsidR="00FF7BA1">
              <w:rPr>
                <w:noProof/>
                <w:webHidden/>
              </w:rPr>
              <w:instrText xml:space="preserve"> PAGEREF _Toc172294744 \h </w:instrText>
            </w:r>
            <w:r w:rsidR="00FF7BA1">
              <w:rPr>
                <w:noProof/>
                <w:webHidden/>
              </w:rPr>
            </w:r>
            <w:r w:rsidR="00FF7BA1">
              <w:rPr>
                <w:noProof/>
                <w:webHidden/>
              </w:rPr>
              <w:fldChar w:fldCharType="separate"/>
            </w:r>
            <w:r w:rsidR="00FF7BA1">
              <w:rPr>
                <w:noProof/>
                <w:webHidden/>
              </w:rPr>
              <w:t>9</w:t>
            </w:r>
            <w:r w:rsidR="00FF7BA1">
              <w:rPr>
                <w:noProof/>
                <w:webHidden/>
              </w:rPr>
              <w:fldChar w:fldCharType="end"/>
            </w:r>
          </w:hyperlink>
        </w:p>
        <w:p w14:paraId="053BB73C" w14:textId="1B7E2B65" w:rsidR="00FF7BA1" w:rsidRDefault="00103181">
          <w:pPr>
            <w:pStyle w:val="Verzeichnis2"/>
            <w:rPr>
              <w:rFonts w:asciiTheme="minorHAnsi" w:eastAsiaTheme="minorEastAsia" w:hAnsiTheme="minorHAnsi"/>
              <w:kern w:val="2"/>
              <w:lang w:eastAsia="de-DE"/>
              <w14:ligatures w14:val="standardContextual"/>
            </w:rPr>
          </w:pPr>
          <w:hyperlink w:anchor="_Toc172294745" w:history="1">
            <w:r w:rsidR="00FF7BA1" w:rsidRPr="0006635B">
              <w:rPr>
                <w:rStyle w:val="Hyperlink"/>
                <w:lang w:eastAsia="de-DE"/>
              </w:rPr>
              <w:t>3.5</w:t>
            </w:r>
            <w:r w:rsidR="00FF7BA1">
              <w:rPr>
                <w:rFonts w:asciiTheme="minorHAnsi" w:eastAsiaTheme="minorEastAsia" w:hAnsiTheme="minorHAnsi"/>
                <w:kern w:val="2"/>
                <w:lang w:eastAsia="de-DE"/>
                <w14:ligatures w14:val="standardContextual"/>
              </w:rPr>
              <w:tab/>
            </w:r>
            <w:r w:rsidR="00FF7BA1" w:rsidRPr="0006635B">
              <w:rPr>
                <w:rStyle w:val="Hyperlink"/>
                <w:lang w:eastAsia="de-DE"/>
              </w:rPr>
              <w:t>Marktfolge</w:t>
            </w:r>
            <w:r w:rsidR="00FF7BA1">
              <w:rPr>
                <w:webHidden/>
              </w:rPr>
              <w:tab/>
            </w:r>
            <w:r w:rsidR="00FF7BA1">
              <w:rPr>
                <w:webHidden/>
              </w:rPr>
              <w:fldChar w:fldCharType="begin"/>
            </w:r>
            <w:r w:rsidR="00FF7BA1">
              <w:rPr>
                <w:webHidden/>
              </w:rPr>
              <w:instrText xml:space="preserve"> PAGEREF _Toc172294745 \h </w:instrText>
            </w:r>
            <w:r w:rsidR="00FF7BA1">
              <w:rPr>
                <w:webHidden/>
              </w:rPr>
            </w:r>
            <w:r w:rsidR="00FF7BA1">
              <w:rPr>
                <w:webHidden/>
              </w:rPr>
              <w:fldChar w:fldCharType="separate"/>
            </w:r>
            <w:r w:rsidR="00FF7BA1">
              <w:rPr>
                <w:webHidden/>
              </w:rPr>
              <w:t>9</w:t>
            </w:r>
            <w:r w:rsidR="00FF7BA1">
              <w:rPr>
                <w:webHidden/>
              </w:rPr>
              <w:fldChar w:fldCharType="end"/>
            </w:r>
          </w:hyperlink>
        </w:p>
        <w:p w14:paraId="5EF1199D" w14:textId="5EE4310A" w:rsidR="00FF7BA1" w:rsidRDefault="00103181">
          <w:pPr>
            <w:pStyle w:val="Verzeichnis1"/>
            <w:rPr>
              <w:rFonts w:asciiTheme="minorHAnsi" w:eastAsiaTheme="minorEastAsia" w:hAnsiTheme="minorHAnsi"/>
              <w:b w:val="0"/>
              <w:noProof/>
              <w:kern w:val="2"/>
              <w:lang w:eastAsia="de-DE"/>
              <w14:ligatures w14:val="standardContextual"/>
            </w:rPr>
          </w:pPr>
          <w:hyperlink w:anchor="_Toc172294746" w:history="1">
            <w:r w:rsidR="00FF7BA1" w:rsidRPr="0006635B">
              <w:rPr>
                <w:rStyle w:val="Hyperlink"/>
                <w:rFonts w:eastAsia="Times New Roman"/>
                <w:noProof/>
                <w:snapToGrid w:val="0"/>
                <w:lang w:eastAsia="de-DE"/>
              </w:rPr>
              <w:t>4</w:t>
            </w:r>
            <w:r w:rsidR="00FF7BA1">
              <w:rPr>
                <w:rFonts w:asciiTheme="minorHAnsi" w:eastAsiaTheme="minorEastAsia" w:hAnsiTheme="minorHAnsi"/>
                <w:b w:val="0"/>
                <w:noProof/>
                <w:kern w:val="2"/>
                <w:lang w:eastAsia="de-DE"/>
                <w14:ligatures w14:val="standardContextual"/>
              </w:rPr>
              <w:tab/>
            </w:r>
            <w:r w:rsidR="00FF7BA1" w:rsidRPr="0006635B">
              <w:rPr>
                <w:rStyle w:val="Hyperlink"/>
                <w:rFonts w:eastAsia="Times New Roman"/>
                <w:noProof/>
                <w:snapToGrid w:val="0"/>
                <w:lang w:eastAsia="de-DE"/>
              </w:rPr>
              <w:t>Risikocontrolling / Gesamtbanksteuerung</w:t>
            </w:r>
            <w:r w:rsidR="00FF7BA1">
              <w:rPr>
                <w:noProof/>
                <w:webHidden/>
              </w:rPr>
              <w:tab/>
            </w:r>
            <w:r w:rsidR="00FF7BA1">
              <w:rPr>
                <w:noProof/>
                <w:webHidden/>
              </w:rPr>
              <w:fldChar w:fldCharType="begin"/>
            </w:r>
            <w:r w:rsidR="00FF7BA1">
              <w:rPr>
                <w:noProof/>
                <w:webHidden/>
              </w:rPr>
              <w:instrText xml:space="preserve"> PAGEREF _Toc172294746 \h </w:instrText>
            </w:r>
            <w:r w:rsidR="00FF7BA1">
              <w:rPr>
                <w:noProof/>
                <w:webHidden/>
              </w:rPr>
            </w:r>
            <w:r w:rsidR="00FF7BA1">
              <w:rPr>
                <w:noProof/>
                <w:webHidden/>
              </w:rPr>
              <w:fldChar w:fldCharType="separate"/>
            </w:r>
            <w:r w:rsidR="00FF7BA1">
              <w:rPr>
                <w:noProof/>
                <w:webHidden/>
              </w:rPr>
              <w:t>9</w:t>
            </w:r>
            <w:r w:rsidR="00FF7BA1">
              <w:rPr>
                <w:noProof/>
                <w:webHidden/>
              </w:rPr>
              <w:fldChar w:fldCharType="end"/>
            </w:r>
          </w:hyperlink>
        </w:p>
        <w:p w14:paraId="62708B4D" w14:textId="341B41F3" w:rsidR="00FF7BA1" w:rsidRDefault="00103181">
          <w:pPr>
            <w:pStyle w:val="Verzeichnis2"/>
            <w:rPr>
              <w:rFonts w:asciiTheme="minorHAnsi" w:eastAsiaTheme="minorEastAsia" w:hAnsiTheme="minorHAnsi"/>
              <w:kern w:val="2"/>
              <w:lang w:eastAsia="de-DE"/>
              <w14:ligatures w14:val="standardContextual"/>
            </w:rPr>
          </w:pPr>
          <w:hyperlink w:anchor="_Toc172294747" w:history="1">
            <w:r w:rsidR="00FF7BA1" w:rsidRPr="0006635B">
              <w:rPr>
                <w:rStyle w:val="Hyperlink"/>
                <w:rFonts w:eastAsia="Times New Roman"/>
                <w:snapToGrid w:val="0"/>
                <w:lang w:eastAsia="de-DE"/>
              </w:rPr>
              <w:t>4.1</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Risikoidentifikation und - inventur</w:t>
            </w:r>
            <w:r w:rsidR="00FF7BA1">
              <w:rPr>
                <w:webHidden/>
              </w:rPr>
              <w:tab/>
            </w:r>
            <w:r w:rsidR="00FF7BA1">
              <w:rPr>
                <w:webHidden/>
              </w:rPr>
              <w:fldChar w:fldCharType="begin"/>
            </w:r>
            <w:r w:rsidR="00FF7BA1">
              <w:rPr>
                <w:webHidden/>
              </w:rPr>
              <w:instrText xml:space="preserve"> PAGEREF _Toc172294747 \h </w:instrText>
            </w:r>
            <w:r w:rsidR="00FF7BA1">
              <w:rPr>
                <w:webHidden/>
              </w:rPr>
            </w:r>
            <w:r w:rsidR="00FF7BA1">
              <w:rPr>
                <w:webHidden/>
              </w:rPr>
              <w:fldChar w:fldCharType="separate"/>
            </w:r>
            <w:r w:rsidR="00FF7BA1">
              <w:rPr>
                <w:webHidden/>
              </w:rPr>
              <w:t>9</w:t>
            </w:r>
            <w:r w:rsidR="00FF7BA1">
              <w:rPr>
                <w:webHidden/>
              </w:rPr>
              <w:fldChar w:fldCharType="end"/>
            </w:r>
          </w:hyperlink>
        </w:p>
        <w:p w14:paraId="129CFF10" w14:textId="7BA74D1D" w:rsidR="00FF7BA1" w:rsidRDefault="00103181">
          <w:pPr>
            <w:pStyle w:val="Verzeichnis2"/>
            <w:rPr>
              <w:rFonts w:asciiTheme="minorHAnsi" w:eastAsiaTheme="minorEastAsia" w:hAnsiTheme="minorHAnsi"/>
              <w:kern w:val="2"/>
              <w:lang w:eastAsia="de-DE"/>
              <w14:ligatures w14:val="standardContextual"/>
            </w:rPr>
          </w:pPr>
          <w:hyperlink w:anchor="_Toc172294748" w:history="1">
            <w:r w:rsidR="00FF7BA1" w:rsidRPr="0006635B">
              <w:rPr>
                <w:rStyle w:val="Hyperlink"/>
                <w:rFonts w:eastAsia="Times New Roman"/>
                <w:snapToGrid w:val="0"/>
                <w:lang w:eastAsia="de-DE"/>
              </w:rPr>
              <w:t>4.2</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Chance / Risikoprofil des Produktes</w:t>
            </w:r>
            <w:r w:rsidR="00FF7BA1">
              <w:rPr>
                <w:webHidden/>
              </w:rPr>
              <w:tab/>
            </w:r>
            <w:r w:rsidR="00FF7BA1">
              <w:rPr>
                <w:webHidden/>
              </w:rPr>
              <w:fldChar w:fldCharType="begin"/>
            </w:r>
            <w:r w:rsidR="00FF7BA1">
              <w:rPr>
                <w:webHidden/>
              </w:rPr>
              <w:instrText xml:space="preserve"> PAGEREF _Toc172294748 \h </w:instrText>
            </w:r>
            <w:r w:rsidR="00FF7BA1">
              <w:rPr>
                <w:webHidden/>
              </w:rPr>
            </w:r>
            <w:r w:rsidR="00FF7BA1">
              <w:rPr>
                <w:webHidden/>
              </w:rPr>
              <w:fldChar w:fldCharType="separate"/>
            </w:r>
            <w:r w:rsidR="00FF7BA1">
              <w:rPr>
                <w:webHidden/>
              </w:rPr>
              <w:t>11</w:t>
            </w:r>
            <w:r w:rsidR="00FF7BA1">
              <w:rPr>
                <w:webHidden/>
              </w:rPr>
              <w:fldChar w:fldCharType="end"/>
            </w:r>
          </w:hyperlink>
        </w:p>
        <w:p w14:paraId="2BF1C67B" w14:textId="79DD669C" w:rsidR="00FF7BA1" w:rsidRDefault="00103181">
          <w:pPr>
            <w:pStyle w:val="Verzeichnis2"/>
            <w:rPr>
              <w:rFonts w:asciiTheme="minorHAnsi" w:eastAsiaTheme="minorEastAsia" w:hAnsiTheme="minorHAnsi"/>
              <w:kern w:val="2"/>
              <w:lang w:eastAsia="de-DE"/>
              <w14:ligatures w14:val="standardContextual"/>
            </w:rPr>
          </w:pPr>
          <w:hyperlink w:anchor="_Toc172294749" w:history="1">
            <w:r w:rsidR="00FF7BA1" w:rsidRPr="0006635B">
              <w:rPr>
                <w:rStyle w:val="Hyperlink"/>
                <w:rFonts w:eastAsia="Times New Roman"/>
                <w:snapToGrid w:val="0"/>
                <w:lang w:eastAsia="de-DE"/>
              </w:rPr>
              <w:t>4.3</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Risikomessung</w:t>
            </w:r>
            <w:r w:rsidR="00FF7BA1">
              <w:rPr>
                <w:webHidden/>
              </w:rPr>
              <w:tab/>
            </w:r>
            <w:r w:rsidR="00FF7BA1">
              <w:rPr>
                <w:webHidden/>
              </w:rPr>
              <w:fldChar w:fldCharType="begin"/>
            </w:r>
            <w:r w:rsidR="00FF7BA1">
              <w:rPr>
                <w:webHidden/>
              </w:rPr>
              <w:instrText xml:space="preserve"> PAGEREF _Toc172294749 \h </w:instrText>
            </w:r>
            <w:r w:rsidR="00FF7BA1">
              <w:rPr>
                <w:webHidden/>
              </w:rPr>
            </w:r>
            <w:r w:rsidR="00FF7BA1">
              <w:rPr>
                <w:webHidden/>
              </w:rPr>
              <w:fldChar w:fldCharType="separate"/>
            </w:r>
            <w:r w:rsidR="00FF7BA1">
              <w:rPr>
                <w:webHidden/>
              </w:rPr>
              <w:t>11</w:t>
            </w:r>
            <w:r w:rsidR="00FF7BA1">
              <w:rPr>
                <w:webHidden/>
              </w:rPr>
              <w:fldChar w:fldCharType="end"/>
            </w:r>
          </w:hyperlink>
        </w:p>
        <w:p w14:paraId="755822F7" w14:textId="0FBE86EC"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50" w:history="1">
            <w:r w:rsidR="00FF7BA1" w:rsidRPr="0006635B">
              <w:rPr>
                <w:rStyle w:val="Hyperlink"/>
                <w:noProof/>
                <w:lang w:eastAsia="de-DE"/>
              </w:rPr>
              <w:t>4.3.1</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Marktpreisrisiko</w:t>
            </w:r>
            <w:r w:rsidR="00FF7BA1">
              <w:rPr>
                <w:noProof/>
                <w:webHidden/>
              </w:rPr>
              <w:tab/>
            </w:r>
            <w:r w:rsidR="00FF7BA1">
              <w:rPr>
                <w:noProof/>
                <w:webHidden/>
              </w:rPr>
              <w:fldChar w:fldCharType="begin"/>
            </w:r>
            <w:r w:rsidR="00FF7BA1">
              <w:rPr>
                <w:noProof/>
                <w:webHidden/>
              </w:rPr>
              <w:instrText xml:space="preserve"> PAGEREF _Toc172294750 \h </w:instrText>
            </w:r>
            <w:r w:rsidR="00FF7BA1">
              <w:rPr>
                <w:noProof/>
                <w:webHidden/>
              </w:rPr>
            </w:r>
            <w:r w:rsidR="00FF7BA1">
              <w:rPr>
                <w:noProof/>
                <w:webHidden/>
              </w:rPr>
              <w:fldChar w:fldCharType="separate"/>
            </w:r>
            <w:r w:rsidR="00FF7BA1">
              <w:rPr>
                <w:noProof/>
                <w:webHidden/>
              </w:rPr>
              <w:t>12</w:t>
            </w:r>
            <w:r w:rsidR="00FF7BA1">
              <w:rPr>
                <w:noProof/>
                <w:webHidden/>
              </w:rPr>
              <w:fldChar w:fldCharType="end"/>
            </w:r>
          </w:hyperlink>
        </w:p>
        <w:p w14:paraId="5142461B" w14:textId="56EF2CCF"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51" w:history="1">
            <w:r w:rsidR="00FF7BA1" w:rsidRPr="0006635B">
              <w:rPr>
                <w:rStyle w:val="Hyperlink"/>
                <w:noProof/>
                <w:lang w:eastAsia="de-DE"/>
              </w:rPr>
              <w:t>4.3.2</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Adressausfallrisiko</w:t>
            </w:r>
            <w:r w:rsidR="00FF7BA1">
              <w:rPr>
                <w:noProof/>
                <w:webHidden/>
              </w:rPr>
              <w:tab/>
            </w:r>
            <w:r w:rsidR="00FF7BA1">
              <w:rPr>
                <w:noProof/>
                <w:webHidden/>
              </w:rPr>
              <w:fldChar w:fldCharType="begin"/>
            </w:r>
            <w:r w:rsidR="00FF7BA1">
              <w:rPr>
                <w:noProof/>
                <w:webHidden/>
              </w:rPr>
              <w:instrText xml:space="preserve"> PAGEREF _Toc172294751 \h </w:instrText>
            </w:r>
            <w:r w:rsidR="00FF7BA1">
              <w:rPr>
                <w:noProof/>
                <w:webHidden/>
              </w:rPr>
            </w:r>
            <w:r w:rsidR="00FF7BA1">
              <w:rPr>
                <w:noProof/>
                <w:webHidden/>
              </w:rPr>
              <w:fldChar w:fldCharType="separate"/>
            </w:r>
            <w:r w:rsidR="00FF7BA1">
              <w:rPr>
                <w:noProof/>
                <w:webHidden/>
              </w:rPr>
              <w:t>12</w:t>
            </w:r>
            <w:r w:rsidR="00FF7BA1">
              <w:rPr>
                <w:noProof/>
                <w:webHidden/>
              </w:rPr>
              <w:fldChar w:fldCharType="end"/>
            </w:r>
          </w:hyperlink>
        </w:p>
        <w:p w14:paraId="768854B2" w14:textId="09C92759"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52" w:history="1">
            <w:r w:rsidR="00FF7BA1" w:rsidRPr="0006635B">
              <w:rPr>
                <w:rStyle w:val="Hyperlink"/>
                <w:noProof/>
                <w:lang w:eastAsia="de-DE"/>
              </w:rPr>
              <w:t>4.3.3</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Liquiditätsrisiko</w:t>
            </w:r>
            <w:r w:rsidR="00FF7BA1">
              <w:rPr>
                <w:noProof/>
                <w:webHidden/>
              </w:rPr>
              <w:tab/>
            </w:r>
            <w:r w:rsidR="00FF7BA1">
              <w:rPr>
                <w:noProof/>
                <w:webHidden/>
              </w:rPr>
              <w:fldChar w:fldCharType="begin"/>
            </w:r>
            <w:r w:rsidR="00FF7BA1">
              <w:rPr>
                <w:noProof/>
                <w:webHidden/>
              </w:rPr>
              <w:instrText xml:space="preserve"> PAGEREF _Toc172294752 \h </w:instrText>
            </w:r>
            <w:r w:rsidR="00FF7BA1">
              <w:rPr>
                <w:noProof/>
                <w:webHidden/>
              </w:rPr>
            </w:r>
            <w:r w:rsidR="00FF7BA1">
              <w:rPr>
                <w:noProof/>
                <w:webHidden/>
              </w:rPr>
              <w:fldChar w:fldCharType="separate"/>
            </w:r>
            <w:r w:rsidR="00FF7BA1">
              <w:rPr>
                <w:noProof/>
                <w:webHidden/>
              </w:rPr>
              <w:t>12</w:t>
            </w:r>
            <w:r w:rsidR="00FF7BA1">
              <w:rPr>
                <w:noProof/>
                <w:webHidden/>
              </w:rPr>
              <w:fldChar w:fldCharType="end"/>
            </w:r>
          </w:hyperlink>
        </w:p>
        <w:p w14:paraId="6726172A" w14:textId="1DC05D67"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53" w:history="1">
            <w:r w:rsidR="00FF7BA1" w:rsidRPr="0006635B">
              <w:rPr>
                <w:rStyle w:val="Hyperlink"/>
                <w:noProof/>
                <w:lang w:eastAsia="de-DE"/>
              </w:rPr>
              <w:t>4.3.4</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Weitere</w:t>
            </w:r>
            <w:r w:rsidR="00FF7BA1" w:rsidRPr="0006635B">
              <w:rPr>
                <w:rStyle w:val="Hyperlink"/>
                <w:b/>
                <w:noProof/>
                <w:lang w:eastAsia="de-DE"/>
              </w:rPr>
              <w:t xml:space="preserve"> </w:t>
            </w:r>
            <w:r w:rsidR="00FF7BA1" w:rsidRPr="0006635B">
              <w:rPr>
                <w:rStyle w:val="Hyperlink"/>
                <w:noProof/>
                <w:lang w:eastAsia="de-DE"/>
              </w:rPr>
              <w:t>Risiken</w:t>
            </w:r>
            <w:r w:rsidR="00FF7BA1">
              <w:rPr>
                <w:noProof/>
                <w:webHidden/>
              </w:rPr>
              <w:tab/>
            </w:r>
            <w:r w:rsidR="00FF7BA1">
              <w:rPr>
                <w:noProof/>
                <w:webHidden/>
              </w:rPr>
              <w:fldChar w:fldCharType="begin"/>
            </w:r>
            <w:r w:rsidR="00FF7BA1">
              <w:rPr>
                <w:noProof/>
                <w:webHidden/>
              </w:rPr>
              <w:instrText xml:space="preserve"> PAGEREF _Toc172294753 \h </w:instrText>
            </w:r>
            <w:r w:rsidR="00FF7BA1">
              <w:rPr>
                <w:noProof/>
                <w:webHidden/>
              </w:rPr>
            </w:r>
            <w:r w:rsidR="00FF7BA1">
              <w:rPr>
                <w:noProof/>
                <w:webHidden/>
              </w:rPr>
              <w:fldChar w:fldCharType="separate"/>
            </w:r>
            <w:r w:rsidR="00FF7BA1">
              <w:rPr>
                <w:noProof/>
                <w:webHidden/>
              </w:rPr>
              <w:t>12</w:t>
            </w:r>
            <w:r w:rsidR="00FF7BA1">
              <w:rPr>
                <w:noProof/>
                <w:webHidden/>
              </w:rPr>
              <w:fldChar w:fldCharType="end"/>
            </w:r>
          </w:hyperlink>
        </w:p>
        <w:p w14:paraId="3B5392AE" w14:textId="5B2122B4" w:rsidR="00FF7BA1" w:rsidRDefault="00103181">
          <w:pPr>
            <w:pStyle w:val="Verzeichnis2"/>
            <w:rPr>
              <w:rFonts w:asciiTheme="minorHAnsi" w:eastAsiaTheme="minorEastAsia" w:hAnsiTheme="minorHAnsi"/>
              <w:kern w:val="2"/>
              <w:lang w:eastAsia="de-DE"/>
              <w14:ligatures w14:val="standardContextual"/>
            </w:rPr>
          </w:pPr>
          <w:hyperlink w:anchor="_Toc172294754" w:history="1">
            <w:r w:rsidR="00FF7BA1" w:rsidRPr="0006635B">
              <w:rPr>
                <w:rStyle w:val="Hyperlink"/>
                <w:rFonts w:eastAsia="Times New Roman"/>
                <w:snapToGrid w:val="0"/>
                <w:lang w:eastAsia="de-DE"/>
              </w:rPr>
              <w:t>4.4</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Limitierung</w:t>
            </w:r>
            <w:r w:rsidR="00FF7BA1">
              <w:rPr>
                <w:webHidden/>
              </w:rPr>
              <w:tab/>
            </w:r>
            <w:r w:rsidR="00FF7BA1">
              <w:rPr>
                <w:webHidden/>
              </w:rPr>
              <w:fldChar w:fldCharType="begin"/>
            </w:r>
            <w:r w:rsidR="00FF7BA1">
              <w:rPr>
                <w:webHidden/>
              </w:rPr>
              <w:instrText xml:space="preserve"> PAGEREF _Toc172294754 \h </w:instrText>
            </w:r>
            <w:r w:rsidR="00FF7BA1">
              <w:rPr>
                <w:webHidden/>
              </w:rPr>
            </w:r>
            <w:r w:rsidR="00FF7BA1">
              <w:rPr>
                <w:webHidden/>
              </w:rPr>
              <w:fldChar w:fldCharType="separate"/>
            </w:r>
            <w:r w:rsidR="00FF7BA1">
              <w:rPr>
                <w:webHidden/>
              </w:rPr>
              <w:t>12</w:t>
            </w:r>
            <w:r w:rsidR="00FF7BA1">
              <w:rPr>
                <w:webHidden/>
              </w:rPr>
              <w:fldChar w:fldCharType="end"/>
            </w:r>
          </w:hyperlink>
        </w:p>
        <w:p w14:paraId="102EF0AF" w14:textId="7B1B7FBF" w:rsidR="00FF7BA1" w:rsidRDefault="00103181">
          <w:pPr>
            <w:pStyle w:val="Verzeichnis2"/>
            <w:rPr>
              <w:rFonts w:asciiTheme="minorHAnsi" w:eastAsiaTheme="minorEastAsia" w:hAnsiTheme="minorHAnsi"/>
              <w:kern w:val="2"/>
              <w:lang w:eastAsia="de-DE"/>
              <w14:ligatures w14:val="standardContextual"/>
            </w:rPr>
          </w:pPr>
          <w:hyperlink w:anchor="_Toc172294755" w:history="1">
            <w:r w:rsidR="00FF7BA1" w:rsidRPr="0006635B">
              <w:rPr>
                <w:rStyle w:val="Hyperlink"/>
                <w:rFonts w:eastAsia="Times New Roman"/>
                <w:snapToGrid w:val="0"/>
                <w:lang w:eastAsia="de-DE"/>
              </w:rPr>
              <w:t>4.5</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Reporting</w:t>
            </w:r>
            <w:r w:rsidR="00FF7BA1">
              <w:rPr>
                <w:webHidden/>
              </w:rPr>
              <w:tab/>
            </w:r>
            <w:r w:rsidR="00FF7BA1">
              <w:rPr>
                <w:webHidden/>
              </w:rPr>
              <w:fldChar w:fldCharType="begin"/>
            </w:r>
            <w:r w:rsidR="00FF7BA1">
              <w:rPr>
                <w:webHidden/>
              </w:rPr>
              <w:instrText xml:space="preserve"> PAGEREF _Toc172294755 \h </w:instrText>
            </w:r>
            <w:r w:rsidR="00FF7BA1">
              <w:rPr>
                <w:webHidden/>
              </w:rPr>
            </w:r>
            <w:r w:rsidR="00FF7BA1">
              <w:rPr>
                <w:webHidden/>
              </w:rPr>
              <w:fldChar w:fldCharType="separate"/>
            </w:r>
            <w:r w:rsidR="00FF7BA1">
              <w:rPr>
                <w:webHidden/>
              </w:rPr>
              <w:t>13</w:t>
            </w:r>
            <w:r w:rsidR="00FF7BA1">
              <w:rPr>
                <w:webHidden/>
              </w:rPr>
              <w:fldChar w:fldCharType="end"/>
            </w:r>
          </w:hyperlink>
        </w:p>
        <w:p w14:paraId="73D42A62" w14:textId="12752DFE" w:rsidR="00FF7BA1" w:rsidRDefault="00103181">
          <w:pPr>
            <w:pStyle w:val="Verzeichnis1"/>
            <w:rPr>
              <w:rFonts w:asciiTheme="minorHAnsi" w:eastAsiaTheme="minorEastAsia" w:hAnsiTheme="minorHAnsi"/>
              <w:b w:val="0"/>
              <w:noProof/>
              <w:kern w:val="2"/>
              <w:lang w:eastAsia="de-DE"/>
              <w14:ligatures w14:val="standardContextual"/>
            </w:rPr>
          </w:pPr>
          <w:hyperlink w:anchor="_Toc172294756" w:history="1">
            <w:r w:rsidR="00FF7BA1" w:rsidRPr="0006635B">
              <w:rPr>
                <w:rStyle w:val="Hyperlink"/>
                <w:rFonts w:eastAsia="Times New Roman"/>
                <w:noProof/>
                <w:snapToGrid w:val="0"/>
                <w:lang w:eastAsia="de-DE"/>
              </w:rPr>
              <w:t>5</w:t>
            </w:r>
            <w:r w:rsidR="00FF7BA1">
              <w:rPr>
                <w:rFonts w:asciiTheme="minorHAnsi" w:eastAsiaTheme="minorEastAsia" w:hAnsiTheme="minorHAnsi"/>
                <w:b w:val="0"/>
                <w:noProof/>
                <w:kern w:val="2"/>
                <w:lang w:eastAsia="de-DE"/>
                <w14:ligatures w14:val="standardContextual"/>
              </w:rPr>
              <w:tab/>
            </w:r>
            <w:r w:rsidR="00FF7BA1" w:rsidRPr="0006635B">
              <w:rPr>
                <w:rStyle w:val="Hyperlink"/>
                <w:rFonts w:eastAsia="Times New Roman"/>
                <w:noProof/>
                <w:snapToGrid w:val="0"/>
                <w:lang w:eastAsia="de-DE"/>
              </w:rPr>
              <w:t>Rechnungslegung / handelsrechtliche Handhabung</w:t>
            </w:r>
            <w:r w:rsidR="00FF7BA1">
              <w:rPr>
                <w:noProof/>
                <w:webHidden/>
              </w:rPr>
              <w:tab/>
            </w:r>
            <w:r w:rsidR="00FF7BA1">
              <w:rPr>
                <w:noProof/>
                <w:webHidden/>
              </w:rPr>
              <w:fldChar w:fldCharType="begin"/>
            </w:r>
            <w:r w:rsidR="00FF7BA1">
              <w:rPr>
                <w:noProof/>
                <w:webHidden/>
              </w:rPr>
              <w:instrText xml:space="preserve"> PAGEREF _Toc172294756 \h </w:instrText>
            </w:r>
            <w:r w:rsidR="00FF7BA1">
              <w:rPr>
                <w:noProof/>
                <w:webHidden/>
              </w:rPr>
            </w:r>
            <w:r w:rsidR="00FF7BA1">
              <w:rPr>
                <w:noProof/>
                <w:webHidden/>
              </w:rPr>
              <w:fldChar w:fldCharType="separate"/>
            </w:r>
            <w:r w:rsidR="00FF7BA1">
              <w:rPr>
                <w:noProof/>
                <w:webHidden/>
              </w:rPr>
              <w:t>13</w:t>
            </w:r>
            <w:r w:rsidR="00FF7BA1">
              <w:rPr>
                <w:noProof/>
                <w:webHidden/>
              </w:rPr>
              <w:fldChar w:fldCharType="end"/>
            </w:r>
          </w:hyperlink>
        </w:p>
        <w:p w14:paraId="2D6AF660" w14:textId="0D743F09" w:rsidR="00FF7BA1" w:rsidRDefault="00103181">
          <w:pPr>
            <w:pStyle w:val="Verzeichnis2"/>
            <w:rPr>
              <w:rFonts w:asciiTheme="minorHAnsi" w:eastAsiaTheme="minorEastAsia" w:hAnsiTheme="minorHAnsi"/>
              <w:kern w:val="2"/>
              <w:lang w:eastAsia="de-DE"/>
              <w14:ligatures w14:val="standardContextual"/>
            </w:rPr>
          </w:pPr>
          <w:hyperlink w:anchor="_Toc172294757" w:history="1">
            <w:r w:rsidR="00FF7BA1" w:rsidRPr="0006635B">
              <w:rPr>
                <w:rStyle w:val="Hyperlink"/>
                <w:rFonts w:eastAsia="Times New Roman"/>
                <w:snapToGrid w:val="0"/>
                <w:lang w:eastAsia="de-DE"/>
              </w:rPr>
              <w:t>5.1</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Bilanzausweis und Bewertung</w:t>
            </w:r>
            <w:r w:rsidR="00FF7BA1">
              <w:rPr>
                <w:webHidden/>
              </w:rPr>
              <w:tab/>
            </w:r>
            <w:r w:rsidR="00FF7BA1">
              <w:rPr>
                <w:webHidden/>
              </w:rPr>
              <w:fldChar w:fldCharType="begin"/>
            </w:r>
            <w:r w:rsidR="00FF7BA1">
              <w:rPr>
                <w:webHidden/>
              </w:rPr>
              <w:instrText xml:space="preserve"> PAGEREF _Toc172294757 \h </w:instrText>
            </w:r>
            <w:r w:rsidR="00FF7BA1">
              <w:rPr>
                <w:webHidden/>
              </w:rPr>
            </w:r>
            <w:r w:rsidR="00FF7BA1">
              <w:rPr>
                <w:webHidden/>
              </w:rPr>
              <w:fldChar w:fldCharType="separate"/>
            </w:r>
            <w:r w:rsidR="00FF7BA1">
              <w:rPr>
                <w:webHidden/>
              </w:rPr>
              <w:t>13</w:t>
            </w:r>
            <w:r w:rsidR="00FF7BA1">
              <w:rPr>
                <w:webHidden/>
              </w:rPr>
              <w:fldChar w:fldCharType="end"/>
            </w:r>
          </w:hyperlink>
        </w:p>
        <w:p w14:paraId="7B7A959E" w14:textId="63648CD3" w:rsidR="00FF7BA1" w:rsidRDefault="00103181">
          <w:pPr>
            <w:pStyle w:val="Verzeichnis2"/>
            <w:rPr>
              <w:rFonts w:asciiTheme="minorHAnsi" w:eastAsiaTheme="minorEastAsia" w:hAnsiTheme="minorHAnsi"/>
              <w:kern w:val="2"/>
              <w:lang w:eastAsia="de-DE"/>
              <w14:ligatures w14:val="standardContextual"/>
            </w:rPr>
          </w:pPr>
          <w:hyperlink w:anchor="_Toc172294758" w:history="1">
            <w:r w:rsidR="00FF7BA1" w:rsidRPr="0006635B">
              <w:rPr>
                <w:rStyle w:val="Hyperlink"/>
                <w:rFonts w:eastAsia="Times New Roman"/>
                <w:snapToGrid w:val="0"/>
                <w:lang w:eastAsia="de-DE"/>
              </w:rPr>
              <w:t>5.2</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Gewinn- und Verlustrechnung</w:t>
            </w:r>
            <w:r w:rsidR="00FF7BA1">
              <w:rPr>
                <w:webHidden/>
              </w:rPr>
              <w:tab/>
            </w:r>
            <w:r w:rsidR="00FF7BA1">
              <w:rPr>
                <w:webHidden/>
              </w:rPr>
              <w:fldChar w:fldCharType="begin"/>
            </w:r>
            <w:r w:rsidR="00FF7BA1">
              <w:rPr>
                <w:webHidden/>
              </w:rPr>
              <w:instrText xml:space="preserve"> PAGEREF _Toc172294758 \h </w:instrText>
            </w:r>
            <w:r w:rsidR="00FF7BA1">
              <w:rPr>
                <w:webHidden/>
              </w:rPr>
            </w:r>
            <w:r w:rsidR="00FF7BA1">
              <w:rPr>
                <w:webHidden/>
              </w:rPr>
              <w:fldChar w:fldCharType="separate"/>
            </w:r>
            <w:r w:rsidR="00FF7BA1">
              <w:rPr>
                <w:webHidden/>
              </w:rPr>
              <w:t>14</w:t>
            </w:r>
            <w:r w:rsidR="00FF7BA1">
              <w:rPr>
                <w:webHidden/>
              </w:rPr>
              <w:fldChar w:fldCharType="end"/>
            </w:r>
          </w:hyperlink>
        </w:p>
        <w:p w14:paraId="28CAB8F3" w14:textId="700E8CAE" w:rsidR="00FF7BA1" w:rsidRDefault="00103181">
          <w:pPr>
            <w:pStyle w:val="Verzeichnis2"/>
            <w:rPr>
              <w:rFonts w:asciiTheme="minorHAnsi" w:eastAsiaTheme="minorEastAsia" w:hAnsiTheme="minorHAnsi"/>
              <w:kern w:val="2"/>
              <w:lang w:eastAsia="de-DE"/>
              <w14:ligatures w14:val="standardContextual"/>
            </w:rPr>
          </w:pPr>
          <w:hyperlink w:anchor="_Toc172294759" w:history="1">
            <w:r w:rsidR="00FF7BA1" w:rsidRPr="0006635B">
              <w:rPr>
                <w:rStyle w:val="Hyperlink"/>
                <w:rFonts w:eastAsia="Times New Roman"/>
                <w:snapToGrid w:val="0"/>
                <w:lang w:eastAsia="de-DE"/>
              </w:rPr>
              <w:t>5.3</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Anhangangaben</w:t>
            </w:r>
            <w:r w:rsidR="00FF7BA1">
              <w:rPr>
                <w:webHidden/>
              </w:rPr>
              <w:tab/>
            </w:r>
            <w:r w:rsidR="00FF7BA1">
              <w:rPr>
                <w:webHidden/>
              </w:rPr>
              <w:fldChar w:fldCharType="begin"/>
            </w:r>
            <w:r w:rsidR="00FF7BA1">
              <w:rPr>
                <w:webHidden/>
              </w:rPr>
              <w:instrText xml:space="preserve"> PAGEREF _Toc172294759 \h </w:instrText>
            </w:r>
            <w:r w:rsidR="00FF7BA1">
              <w:rPr>
                <w:webHidden/>
              </w:rPr>
            </w:r>
            <w:r w:rsidR="00FF7BA1">
              <w:rPr>
                <w:webHidden/>
              </w:rPr>
              <w:fldChar w:fldCharType="separate"/>
            </w:r>
            <w:r w:rsidR="00FF7BA1">
              <w:rPr>
                <w:webHidden/>
              </w:rPr>
              <w:t>15</w:t>
            </w:r>
            <w:r w:rsidR="00FF7BA1">
              <w:rPr>
                <w:webHidden/>
              </w:rPr>
              <w:fldChar w:fldCharType="end"/>
            </w:r>
          </w:hyperlink>
        </w:p>
        <w:p w14:paraId="04260125" w14:textId="24291281" w:rsidR="00FF7BA1" w:rsidRDefault="00103181">
          <w:pPr>
            <w:pStyle w:val="Verzeichnis2"/>
            <w:rPr>
              <w:rFonts w:asciiTheme="minorHAnsi" w:eastAsiaTheme="minorEastAsia" w:hAnsiTheme="minorHAnsi"/>
              <w:kern w:val="2"/>
              <w:lang w:eastAsia="de-DE"/>
              <w14:ligatures w14:val="standardContextual"/>
            </w:rPr>
          </w:pPr>
          <w:hyperlink w:anchor="_Toc172294760" w:history="1">
            <w:r w:rsidR="00FF7BA1" w:rsidRPr="0006635B">
              <w:rPr>
                <w:rStyle w:val="Hyperlink"/>
                <w:rFonts w:eastAsia="Times New Roman"/>
                <w:snapToGrid w:val="0"/>
                <w:lang w:eastAsia="de-DE"/>
              </w:rPr>
              <w:t>5.4</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Lagebericht</w:t>
            </w:r>
            <w:r w:rsidR="00FF7BA1">
              <w:rPr>
                <w:webHidden/>
              </w:rPr>
              <w:tab/>
            </w:r>
            <w:r w:rsidR="00FF7BA1">
              <w:rPr>
                <w:webHidden/>
              </w:rPr>
              <w:fldChar w:fldCharType="begin"/>
            </w:r>
            <w:r w:rsidR="00FF7BA1">
              <w:rPr>
                <w:webHidden/>
              </w:rPr>
              <w:instrText xml:space="preserve"> PAGEREF _Toc172294760 \h </w:instrText>
            </w:r>
            <w:r w:rsidR="00FF7BA1">
              <w:rPr>
                <w:webHidden/>
              </w:rPr>
            </w:r>
            <w:r w:rsidR="00FF7BA1">
              <w:rPr>
                <w:webHidden/>
              </w:rPr>
              <w:fldChar w:fldCharType="separate"/>
            </w:r>
            <w:r w:rsidR="00FF7BA1">
              <w:rPr>
                <w:webHidden/>
              </w:rPr>
              <w:t>15</w:t>
            </w:r>
            <w:r w:rsidR="00FF7BA1">
              <w:rPr>
                <w:webHidden/>
              </w:rPr>
              <w:fldChar w:fldCharType="end"/>
            </w:r>
          </w:hyperlink>
        </w:p>
        <w:p w14:paraId="4106AB21" w14:textId="4CD1A980" w:rsidR="00FF7BA1" w:rsidRDefault="00103181">
          <w:pPr>
            <w:pStyle w:val="Verzeichnis1"/>
            <w:rPr>
              <w:rFonts w:asciiTheme="minorHAnsi" w:eastAsiaTheme="minorEastAsia" w:hAnsiTheme="minorHAnsi"/>
              <w:b w:val="0"/>
              <w:noProof/>
              <w:kern w:val="2"/>
              <w:lang w:eastAsia="de-DE"/>
              <w14:ligatures w14:val="standardContextual"/>
            </w:rPr>
          </w:pPr>
          <w:hyperlink w:anchor="_Toc172294761" w:history="1">
            <w:r w:rsidR="00FF7BA1" w:rsidRPr="0006635B">
              <w:rPr>
                <w:rStyle w:val="Hyperlink"/>
                <w:rFonts w:eastAsia="Times New Roman"/>
                <w:noProof/>
                <w:snapToGrid w:val="0"/>
                <w:lang w:eastAsia="de-DE"/>
              </w:rPr>
              <w:t>6</w:t>
            </w:r>
            <w:r w:rsidR="00FF7BA1">
              <w:rPr>
                <w:rFonts w:asciiTheme="minorHAnsi" w:eastAsiaTheme="minorEastAsia" w:hAnsiTheme="minorHAnsi"/>
                <w:b w:val="0"/>
                <w:noProof/>
                <w:kern w:val="2"/>
                <w:lang w:eastAsia="de-DE"/>
                <w14:ligatures w14:val="standardContextual"/>
              </w:rPr>
              <w:tab/>
            </w:r>
            <w:r w:rsidR="00FF7BA1" w:rsidRPr="0006635B">
              <w:rPr>
                <w:rStyle w:val="Hyperlink"/>
                <w:rFonts w:eastAsia="Times New Roman"/>
                <w:noProof/>
                <w:snapToGrid w:val="0"/>
                <w:lang w:eastAsia="de-DE"/>
              </w:rPr>
              <w:t>Aufsichtsrecht/Meldewesen</w:t>
            </w:r>
            <w:r w:rsidR="00FF7BA1">
              <w:rPr>
                <w:noProof/>
                <w:webHidden/>
              </w:rPr>
              <w:tab/>
            </w:r>
            <w:r w:rsidR="00FF7BA1">
              <w:rPr>
                <w:noProof/>
                <w:webHidden/>
              </w:rPr>
              <w:fldChar w:fldCharType="begin"/>
            </w:r>
            <w:r w:rsidR="00FF7BA1">
              <w:rPr>
                <w:noProof/>
                <w:webHidden/>
              </w:rPr>
              <w:instrText xml:space="preserve"> PAGEREF _Toc172294761 \h </w:instrText>
            </w:r>
            <w:r w:rsidR="00FF7BA1">
              <w:rPr>
                <w:noProof/>
                <w:webHidden/>
              </w:rPr>
            </w:r>
            <w:r w:rsidR="00FF7BA1">
              <w:rPr>
                <w:noProof/>
                <w:webHidden/>
              </w:rPr>
              <w:fldChar w:fldCharType="separate"/>
            </w:r>
            <w:r w:rsidR="00FF7BA1">
              <w:rPr>
                <w:noProof/>
                <w:webHidden/>
              </w:rPr>
              <w:t>15</w:t>
            </w:r>
            <w:r w:rsidR="00FF7BA1">
              <w:rPr>
                <w:noProof/>
                <w:webHidden/>
              </w:rPr>
              <w:fldChar w:fldCharType="end"/>
            </w:r>
          </w:hyperlink>
        </w:p>
        <w:p w14:paraId="37DFDDCA" w14:textId="513EA4B2" w:rsidR="00FF7BA1" w:rsidRDefault="00103181">
          <w:pPr>
            <w:pStyle w:val="Verzeichnis2"/>
            <w:rPr>
              <w:rFonts w:asciiTheme="minorHAnsi" w:eastAsiaTheme="minorEastAsia" w:hAnsiTheme="minorHAnsi"/>
              <w:kern w:val="2"/>
              <w:lang w:eastAsia="de-DE"/>
              <w14:ligatures w14:val="standardContextual"/>
            </w:rPr>
          </w:pPr>
          <w:hyperlink w:anchor="_Toc172294762" w:history="1">
            <w:r w:rsidR="00FF7BA1" w:rsidRPr="0006635B">
              <w:rPr>
                <w:rStyle w:val="Hyperlink"/>
                <w:rFonts w:eastAsia="Times New Roman"/>
                <w:snapToGrid w:val="0"/>
                <w:lang w:eastAsia="de-DE"/>
              </w:rPr>
              <w:t>6.1</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Zuordnung des Geschäfts / Grundlegendes</w:t>
            </w:r>
            <w:r w:rsidR="00FF7BA1">
              <w:rPr>
                <w:webHidden/>
              </w:rPr>
              <w:tab/>
            </w:r>
            <w:r w:rsidR="00FF7BA1">
              <w:rPr>
                <w:webHidden/>
              </w:rPr>
              <w:fldChar w:fldCharType="begin"/>
            </w:r>
            <w:r w:rsidR="00FF7BA1">
              <w:rPr>
                <w:webHidden/>
              </w:rPr>
              <w:instrText xml:space="preserve"> PAGEREF _Toc172294762 \h </w:instrText>
            </w:r>
            <w:r w:rsidR="00FF7BA1">
              <w:rPr>
                <w:webHidden/>
              </w:rPr>
            </w:r>
            <w:r w:rsidR="00FF7BA1">
              <w:rPr>
                <w:webHidden/>
              </w:rPr>
              <w:fldChar w:fldCharType="separate"/>
            </w:r>
            <w:r w:rsidR="00FF7BA1">
              <w:rPr>
                <w:webHidden/>
              </w:rPr>
              <w:t>15</w:t>
            </w:r>
            <w:r w:rsidR="00FF7BA1">
              <w:rPr>
                <w:webHidden/>
              </w:rPr>
              <w:fldChar w:fldCharType="end"/>
            </w:r>
          </w:hyperlink>
        </w:p>
        <w:p w14:paraId="224C6F31" w14:textId="4E4E55B0" w:rsidR="00FF7BA1" w:rsidRDefault="00103181">
          <w:pPr>
            <w:pStyle w:val="Verzeichnis2"/>
            <w:rPr>
              <w:rFonts w:asciiTheme="minorHAnsi" w:eastAsiaTheme="minorEastAsia" w:hAnsiTheme="minorHAnsi"/>
              <w:kern w:val="2"/>
              <w:lang w:eastAsia="de-DE"/>
              <w14:ligatures w14:val="standardContextual"/>
            </w:rPr>
          </w:pPr>
          <w:hyperlink w:anchor="_Toc172294763" w:history="1">
            <w:r w:rsidR="00FF7BA1" w:rsidRPr="0006635B">
              <w:rPr>
                <w:rStyle w:val="Hyperlink"/>
                <w:rFonts w:eastAsia="Times New Roman"/>
                <w:snapToGrid w:val="0"/>
                <w:lang w:eastAsia="de-DE"/>
              </w:rPr>
              <w:t>6.2</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Eigenmittel / Eigenmittelanforderungen</w:t>
            </w:r>
            <w:r w:rsidR="00FF7BA1">
              <w:rPr>
                <w:webHidden/>
              </w:rPr>
              <w:tab/>
            </w:r>
            <w:r w:rsidR="00FF7BA1">
              <w:rPr>
                <w:webHidden/>
              </w:rPr>
              <w:fldChar w:fldCharType="begin"/>
            </w:r>
            <w:r w:rsidR="00FF7BA1">
              <w:rPr>
                <w:webHidden/>
              </w:rPr>
              <w:instrText xml:space="preserve"> PAGEREF _Toc172294763 \h </w:instrText>
            </w:r>
            <w:r w:rsidR="00FF7BA1">
              <w:rPr>
                <w:webHidden/>
              </w:rPr>
            </w:r>
            <w:r w:rsidR="00FF7BA1">
              <w:rPr>
                <w:webHidden/>
              </w:rPr>
              <w:fldChar w:fldCharType="separate"/>
            </w:r>
            <w:r w:rsidR="00FF7BA1">
              <w:rPr>
                <w:webHidden/>
              </w:rPr>
              <w:t>15</w:t>
            </w:r>
            <w:r w:rsidR="00FF7BA1">
              <w:rPr>
                <w:webHidden/>
              </w:rPr>
              <w:fldChar w:fldCharType="end"/>
            </w:r>
          </w:hyperlink>
        </w:p>
        <w:p w14:paraId="69527859" w14:textId="2D9DD7BB"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64" w:history="1">
            <w:r w:rsidR="00FF7BA1" w:rsidRPr="0006635B">
              <w:rPr>
                <w:rStyle w:val="Hyperlink"/>
                <w:rFonts w:eastAsia="Times New Roman"/>
                <w:noProof/>
                <w:snapToGrid w:val="0"/>
                <w:lang w:eastAsia="de-DE"/>
              </w:rPr>
              <w:t>6.2.1</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Kreditrisikostandardansatz (KSA)</w:t>
            </w:r>
            <w:r w:rsidR="00FF7BA1">
              <w:rPr>
                <w:noProof/>
                <w:webHidden/>
              </w:rPr>
              <w:tab/>
            </w:r>
            <w:r w:rsidR="00FF7BA1">
              <w:rPr>
                <w:noProof/>
                <w:webHidden/>
              </w:rPr>
              <w:fldChar w:fldCharType="begin"/>
            </w:r>
            <w:r w:rsidR="00FF7BA1">
              <w:rPr>
                <w:noProof/>
                <w:webHidden/>
              </w:rPr>
              <w:instrText xml:space="preserve"> PAGEREF _Toc172294764 \h </w:instrText>
            </w:r>
            <w:r w:rsidR="00FF7BA1">
              <w:rPr>
                <w:noProof/>
                <w:webHidden/>
              </w:rPr>
            </w:r>
            <w:r w:rsidR="00FF7BA1">
              <w:rPr>
                <w:noProof/>
                <w:webHidden/>
              </w:rPr>
              <w:fldChar w:fldCharType="separate"/>
            </w:r>
            <w:r w:rsidR="00FF7BA1">
              <w:rPr>
                <w:noProof/>
                <w:webHidden/>
              </w:rPr>
              <w:t>15</w:t>
            </w:r>
            <w:r w:rsidR="00FF7BA1">
              <w:rPr>
                <w:noProof/>
                <w:webHidden/>
              </w:rPr>
              <w:fldChar w:fldCharType="end"/>
            </w:r>
          </w:hyperlink>
        </w:p>
        <w:p w14:paraId="1BDFEE76" w14:textId="39E44353"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65" w:history="1">
            <w:r w:rsidR="00FF7BA1" w:rsidRPr="0006635B">
              <w:rPr>
                <w:rStyle w:val="Hyperlink"/>
                <w:rFonts w:eastAsia="Times New Roman"/>
                <w:noProof/>
                <w:snapToGrid w:val="0"/>
                <w:lang w:eastAsia="de-DE"/>
              </w:rPr>
              <w:t>6.2.2</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Marktrisiken</w:t>
            </w:r>
            <w:r w:rsidR="00FF7BA1">
              <w:rPr>
                <w:noProof/>
                <w:webHidden/>
              </w:rPr>
              <w:tab/>
            </w:r>
            <w:r w:rsidR="00FF7BA1">
              <w:rPr>
                <w:noProof/>
                <w:webHidden/>
              </w:rPr>
              <w:fldChar w:fldCharType="begin"/>
            </w:r>
            <w:r w:rsidR="00FF7BA1">
              <w:rPr>
                <w:noProof/>
                <w:webHidden/>
              </w:rPr>
              <w:instrText xml:space="preserve"> PAGEREF _Toc172294765 \h </w:instrText>
            </w:r>
            <w:r w:rsidR="00FF7BA1">
              <w:rPr>
                <w:noProof/>
                <w:webHidden/>
              </w:rPr>
            </w:r>
            <w:r w:rsidR="00FF7BA1">
              <w:rPr>
                <w:noProof/>
                <w:webHidden/>
              </w:rPr>
              <w:fldChar w:fldCharType="separate"/>
            </w:r>
            <w:r w:rsidR="00FF7BA1">
              <w:rPr>
                <w:noProof/>
                <w:webHidden/>
              </w:rPr>
              <w:t>16</w:t>
            </w:r>
            <w:r w:rsidR="00FF7BA1">
              <w:rPr>
                <w:noProof/>
                <w:webHidden/>
              </w:rPr>
              <w:fldChar w:fldCharType="end"/>
            </w:r>
          </w:hyperlink>
        </w:p>
        <w:p w14:paraId="78CBEF91" w14:textId="4B62E43F"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66" w:history="1">
            <w:r w:rsidR="00FF7BA1" w:rsidRPr="0006635B">
              <w:rPr>
                <w:rStyle w:val="Hyperlink"/>
                <w:rFonts w:eastAsia="Times New Roman"/>
                <w:noProof/>
                <w:snapToGrid w:val="0"/>
                <w:lang w:eastAsia="de-DE"/>
              </w:rPr>
              <w:t>6.2.3</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Risiko einer Anpassung der Kreditbewertung (CVA-Risiko)</w:t>
            </w:r>
            <w:r w:rsidR="00FF7BA1">
              <w:rPr>
                <w:noProof/>
                <w:webHidden/>
              </w:rPr>
              <w:tab/>
            </w:r>
            <w:r w:rsidR="00FF7BA1">
              <w:rPr>
                <w:noProof/>
                <w:webHidden/>
              </w:rPr>
              <w:fldChar w:fldCharType="begin"/>
            </w:r>
            <w:r w:rsidR="00FF7BA1">
              <w:rPr>
                <w:noProof/>
                <w:webHidden/>
              </w:rPr>
              <w:instrText xml:space="preserve"> PAGEREF _Toc172294766 \h </w:instrText>
            </w:r>
            <w:r w:rsidR="00FF7BA1">
              <w:rPr>
                <w:noProof/>
                <w:webHidden/>
              </w:rPr>
            </w:r>
            <w:r w:rsidR="00FF7BA1">
              <w:rPr>
                <w:noProof/>
                <w:webHidden/>
              </w:rPr>
              <w:fldChar w:fldCharType="separate"/>
            </w:r>
            <w:r w:rsidR="00FF7BA1">
              <w:rPr>
                <w:noProof/>
                <w:webHidden/>
              </w:rPr>
              <w:t>16</w:t>
            </w:r>
            <w:r w:rsidR="00FF7BA1">
              <w:rPr>
                <w:noProof/>
                <w:webHidden/>
              </w:rPr>
              <w:fldChar w:fldCharType="end"/>
            </w:r>
          </w:hyperlink>
        </w:p>
        <w:p w14:paraId="42B2918D" w14:textId="4BFF4BA4"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67" w:history="1">
            <w:r w:rsidR="00FF7BA1" w:rsidRPr="0006635B">
              <w:rPr>
                <w:rStyle w:val="Hyperlink"/>
                <w:noProof/>
                <w:lang w:eastAsia="de-DE"/>
              </w:rPr>
              <w:t>6.2.4</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Abzugsposition aus Beteiligung</w:t>
            </w:r>
            <w:r w:rsidR="00FF7BA1">
              <w:rPr>
                <w:noProof/>
                <w:webHidden/>
              </w:rPr>
              <w:tab/>
            </w:r>
            <w:r w:rsidR="00FF7BA1">
              <w:rPr>
                <w:noProof/>
                <w:webHidden/>
              </w:rPr>
              <w:fldChar w:fldCharType="begin"/>
            </w:r>
            <w:r w:rsidR="00FF7BA1">
              <w:rPr>
                <w:noProof/>
                <w:webHidden/>
              </w:rPr>
              <w:instrText xml:space="preserve"> PAGEREF _Toc172294767 \h </w:instrText>
            </w:r>
            <w:r w:rsidR="00FF7BA1">
              <w:rPr>
                <w:noProof/>
                <w:webHidden/>
              </w:rPr>
            </w:r>
            <w:r w:rsidR="00FF7BA1">
              <w:rPr>
                <w:noProof/>
                <w:webHidden/>
              </w:rPr>
              <w:fldChar w:fldCharType="separate"/>
            </w:r>
            <w:r w:rsidR="00FF7BA1">
              <w:rPr>
                <w:noProof/>
                <w:webHidden/>
              </w:rPr>
              <w:t>16</w:t>
            </w:r>
            <w:r w:rsidR="00FF7BA1">
              <w:rPr>
                <w:noProof/>
                <w:webHidden/>
              </w:rPr>
              <w:fldChar w:fldCharType="end"/>
            </w:r>
          </w:hyperlink>
        </w:p>
        <w:p w14:paraId="57869C12" w14:textId="6072BE71"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68" w:history="1">
            <w:r w:rsidR="00FF7BA1" w:rsidRPr="0006635B">
              <w:rPr>
                <w:rStyle w:val="Hyperlink"/>
                <w:noProof/>
                <w:lang w:eastAsia="de-DE"/>
              </w:rPr>
              <w:t>6.2.5</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Geographical Breakdown / Antizyklischer Kapitalpuffer</w:t>
            </w:r>
            <w:r w:rsidR="00FF7BA1">
              <w:rPr>
                <w:noProof/>
                <w:webHidden/>
              </w:rPr>
              <w:tab/>
            </w:r>
            <w:r w:rsidR="00FF7BA1">
              <w:rPr>
                <w:noProof/>
                <w:webHidden/>
              </w:rPr>
              <w:fldChar w:fldCharType="begin"/>
            </w:r>
            <w:r w:rsidR="00FF7BA1">
              <w:rPr>
                <w:noProof/>
                <w:webHidden/>
              </w:rPr>
              <w:instrText xml:space="preserve"> PAGEREF _Toc172294768 \h </w:instrText>
            </w:r>
            <w:r w:rsidR="00FF7BA1">
              <w:rPr>
                <w:noProof/>
                <w:webHidden/>
              </w:rPr>
            </w:r>
            <w:r w:rsidR="00FF7BA1">
              <w:rPr>
                <w:noProof/>
                <w:webHidden/>
              </w:rPr>
              <w:fldChar w:fldCharType="separate"/>
            </w:r>
            <w:r w:rsidR="00FF7BA1">
              <w:rPr>
                <w:noProof/>
                <w:webHidden/>
              </w:rPr>
              <w:t>16</w:t>
            </w:r>
            <w:r w:rsidR="00FF7BA1">
              <w:rPr>
                <w:noProof/>
                <w:webHidden/>
              </w:rPr>
              <w:fldChar w:fldCharType="end"/>
            </w:r>
          </w:hyperlink>
        </w:p>
        <w:p w14:paraId="621E542D" w14:textId="5138C194" w:rsidR="00FF7BA1" w:rsidRDefault="00103181">
          <w:pPr>
            <w:pStyle w:val="Verzeichnis2"/>
            <w:rPr>
              <w:rFonts w:asciiTheme="minorHAnsi" w:eastAsiaTheme="minorEastAsia" w:hAnsiTheme="minorHAnsi"/>
              <w:kern w:val="2"/>
              <w:lang w:eastAsia="de-DE"/>
              <w14:ligatures w14:val="standardContextual"/>
            </w:rPr>
          </w:pPr>
          <w:hyperlink w:anchor="_Toc172294769" w:history="1">
            <w:r w:rsidR="00FF7BA1" w:rsidRPr="0006635B">
              <w:rPr>
                <w:rStyle w:val="Hyperlink"/>
                <w:rFonts w:eastAsia="Times New Roman"/>
                <w:snapToGrid w:val="0"/>
                <w:lang w:eastAsia="de-DE"/>
              </w:rPr>
              <w:t>6.3</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Kreditmeldewesen</w:t>
            </w:r>
            <w:r w:rsidR="00FF7BA1">
              <w:rPr>
                <w:webHidden/>
              </w:rPr>
              <w:tab/>
            </w:r>
            <w:r w:rsidR="00FF7BA1">
              <w:rPr>
                <w:webHidden/>
              </w:rPr>
              <w:fldChar w:fldCharType="begin"/>
            </w:r>
            <w:r w:rsidR="00FF7BA1">
              <w:rPr>
                <w:webHidden/>
              </w:rPr>
              <w:instrText xml:space="preserve"> PAGEREF _Toc172294769 \h </w:instrText>
            </w:r>
            <w:r w:rsidR="00FF7BA1">
              <w:rPr>
                <w:webHidden/>
              </w:rPr>
            </w:r>
            <w:r w:rsidR="00FF7BA1">
              <w:rPr>
                <w:webHidden/>
              </w:rPr>
              <w:fldChar w:fldCharType="separate"/>
            </w:r>
            <w:r w:rsidR="00FF7BA1">
              <w:rPr>
                <w:webHidden/>
              </w:rPr>
              <w:t>17</w:t>
            </w:r>
            <w:r w:rsidR="00FF7BA1">
              <w:rPr>
                <w:webHidden/>
              </w:rPr>
              <w:fldChar w:fldCharType="end"/>
            </w:r>
          </w:hyperlink>
        </w:p>
        <w:p w14:paraId="409022EE" w14:textId="2949DB72"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70" w:history="1">
            <w:r w:rsidR="00FF7BA1" w:rsidRPr="0006635B">
              <w:rPr>
                <w:rStyle w:val="Hyperlink"/>
                <w:noProof/>
                <w:lang w:eastAsia="de-DE"/>
              </w:rPr>
              <w:t>6.3.1</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Großkredit</w:t>
            </w:r>
            <w:r w:rsidR="00FF7BA1">
              <w:rPr>
                <w:noProof/>
                <w:webHidden/>
              </w:rPr>
              <w:tab/>
            </w:r>
            <w:r w:rsidR="00FF7BA1">
              <w:rPr>
                <w:noProof/>
                <w:webHidden/>
              </w:rPr>
              <w:fldChar w:fldCharType="begin"/>
            </w:r>
            <w:r w:rsidR="00FF7BA1">
              <w:rPr>
                <w:noProof/>
                <w:webHidden/>
              </w:rPr>
              <w:instrText xml:space="preserve"> PAGEREF _Toc172294770 \h </w:instrText>
            </w:r>
            <w:r w:rsidR="00FF7BA1">
              <w:rPr>
                <w:noProof/>
                <w:webHidden/>
              </w:rPr>
            </w:r>
            <w:r w:rsidR="00FF7BA1">
              <w:rPr>
                <w:noProof/>
                <w:webHidden/>
              </w:rPr>
              <w:fldChar w:fldCharType="separate"/>
            </w:r>
            <w:r w:rsidR="00FF7BA1">
              <w:rPr>
                <w:noProof/>
                <w:webHidden/>
              </w:rPr>
              <w:t>17</w:t>
            </w:r>
            <w:r w:rsidR="00FF7BA1">
              <w:rPr>
                <w:noProof/>
                <w:webHidden/>
              </w:rPr>
              <w:fldChar w:fldCharType="end"/>
            </w:r>
          </w:hyperlink>
          <w:r w:rsidR="00FF7BA1">
            <w:rPr>
              <w:rStyle w:val="Hyperlink"/>
              <w:noProof/>
            </w:rPr>
            <w:tab/>
          </w:r>
        </w:p>
        <w:p w14:paraId="7498E378" w14:textId="2EF57A74"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71" w:history="1">
            <w:r w:rsidR="00FF7BA1" w:rsidRPr="0006635B">
              <w:rPr>
                <w:rStyle w:val="Hyperlink"/>
                <w:noProof/>
                <w:lang w:eastAsia="de-DE"/>
              </w:rPr>
              <w:t>6.3.2</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Millionenkreditvorschriften und Meldung</w:t>
            </w:r>
            <w:r w:rsidR="00FF7BA1">
              <w:rPr>
                <w:noProof/>
                <w:webHidden/>
              </w:rPr>
              <w:tab/>
            </w:r>
            <w:r w:rsidR="00FF7BA1">
              <w:rPr>
                <w:noProof/>
                <w:webHidden/>
              </w:rPr>
              <w:fldChar w:fldCharType="begin"/>
            </w:r>
            <w:r w:rsidR="00FF7BA1">
              <w:rPr>
                <w:noProof/>
                <w:webHidden/>
              </w:rPr>
              <w:instrText xml:space="preserve"> PAGEREF _Toc172294771 \h </w:instrText>
            </w:r>
            <w:r w:rsidR="00FF7BA1">
              <w:rPr>
                <w:noProof/>
                <w:webHidden/>
              </w:rPr>
            </w:r>
            <w:r w:rsidR="00FF7BA1">
              <w:rPr>
                <w:noProof/>
                <w:webHidden/>
              </w:rPr>
              <w:fldChar w:fldCharType="separate"/>
            </w:r>
            <w:r w:rsidR="00FF7BA1">
              <w:rPr>
                <w:noProof/>
                <w:webHidden/>
              </w:rPr>
              <w:t>17</w:t>
            </w:r>
            <w:r w:rsidR="00FF7BA1">
              <w:rPr>
                <w:noProof/>
                <w:webHidden/>
              </w:rPr>
              <w:fldChar w:fldCharType="end"/>
            </w:r>
          </w:hyperlink>
        </w:p>
        <w:p w14:paraId="285B58B9" w14:textId="47548A6B"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72" w:history="1">
            <w:r w:rsidR="00FF7BA1" w:rsidRPr="0006635B">
              <w:rPr>
                <w:rStyle w:val="Hyperlink"/>
                <w:noProof/>
              </w:rPr>
              <w:t>6.3.3</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BaFin-Rundschreiben 6/2016 (BA) Obergrenze für Risikopositionen gegenüber Schattenbanken</w:t>
            </w:r>
            <w:r w:rsidR="00FF7BA1">
              <w:rPr>
                <w:noProof/>
                <w:webHidden/>
              </w:rPr>
              <w:tab/>
            </w:r>
            <w:r w:rsidR="00FF7BA1">
              <w:rPr>
                <w:noProof/>
                <w:webHidden/>
              </w:rPr>
              <w:fldChar w:fldCharType="begin"/>
            </w:r>
            <w:r w:rsidR="00FF7BA1">
              <w:rPr>
                <w:noProof/>
                <w:webHidden/>
              </w:rPr>
              <w:instrText xml:space="preserve"> PAGEREF _Toc172294772 \h </w:instrText>
            </w:r>
            <w:r w:rsidR="00FF7BA1">
              <w:rPr>
                <w:noProof/>
                <w:webHidden/>
              </w:rPr>
            </w:r>
            <w:r w:rsidR="00FF7BA1">
              <w:rPr>
                <w:noProof/>
                <w:webHidden/>
              </w:rPr>
              <w:fldChar w:fldCharType="separate"/>
            </w:r>
            <w:r w:rsidR="00FF7BA1">
              <w:rPr>
                <w:noProof/>
                <w:webHidden/>
              </w:rPr>
              <w:t>17</w:t>
            </w:r>
            <w:r w:rsidR="00FF7BA1">
              <w:rPr>
                <w:noProof/>
                <w:webHidden/>
              </w:rPr>
              <w:fldChar w:fldCharType="end"/>
            </w:r>
          </w:hyperlink>
        </w:p>
        <w:p w14:paraId="53677ADC" w14:textId="6553A723" w:rsidR="00FF7BA1" w:rsidRDefault="00103181">
          <w:pPr>
            <w:pStyle w:val="Verzeichnis2"/>
            <w:rPr>
              <w:rFonts w:asciiTheme="minorHAnsi" w:eastAsiaTheme="minorEastAsia" w:hAnsiTheme="minorHAnsi"/>
              <w:kern w:val="2"/>
              <w:lang w:eastAsia="de-DE"/>
              <w14:ligatures w14:val="standardContextual"/>
            </w:rPr>
          </w:pPr>
          <w:hyperlink w:anchor="_Toc172294773" w:history="1">
            <w:r w:rsidR="00FF7BA1" w:rsidRPr="0006635B">
              <w:rPr>
                <w:rStyle w:val="Hyperlink"/>
                <w:rFonts w:eastAsia="Times New Roman"/>
                <w:snapToGrid w:val="0"/>
                <w:lang w:eastAsia="de-DE"/>
              </w:rPr>
              <w:t>6.4</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Liquiditätsmeldewesen</w:t>
            </w:r>
            <w:r w:rsidR="00FF7BA1">
              <w:rPr>
                <w:webHidden/>
              </w:rPr>
              <w:tab/>
            </w:r>
            <w:r w:rsidR="00FF7BA1">
              <w:rPr>
                <w:webHidden/>
              </w:rPr>
              <w:fldChar w:fldCharType="begin"/>
            </w:r>
            <w:r w:rsidR="00FF7BA1">
              <w:rPr>
                <w:webHidden/>
              </w:rPr>
              <w:instrText xml:space="preserve"> PAGEREF _Toc172294773 \h </w:instrText>
            </w:r>
            <w:r w:rsidR="00FF7BA1">
              <w:rPr>
                <w:webHidden/>
              </w:rPr>
            </w:r>
            <w:r w:rsidR="00FF7BA1">
              <w:rPr>
                <w:webHidden/>
              </w:rPr>
              <w:fldChar w:fldCharType="separate"/>
            </w:r>
            <w:r w:rsidR="00FF7BA1">
              <w:rPr>
                <w:webHidden/>
              </w:rPr>
              <w:t>18</w:t>
            </w:r>
            <w:r w:rsidR="00FF7BA1">
              <w:rPr>
                <w:webHidden/>
              </w:rPr>
              <w:fldChar w:fldCharType="end"/>
            </w:r>
          </w:hyperlink>
        </w:p>
        <w:p w14:paraId="43E138F7" w14:textId="38005734"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74" w:history="1">
            <w:r w:rsidR="00FF7BA1" w:rsidRPr="0006635B">
              <w:rPr>
                <w:rStyle w:val="Hyperlink"/>
                <w:noProof/>
                <w:lang w:eastAsia="de-DE"/>
              </w:rPr>
              <w:t>6.4.1</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Liquidity Coverage Ratio (LCR)</w:t>
            </w:r>
            <w:r w:rsidR="00FF7BA1">
              <w:rPr>
                <w:noProof/>
                <w:webHidden/>
              </w:rPr>
              <w:tab/>
            </w:r>
            <w:r w:rsidR="00FF7BA1">
              <w:rPr>
                <w:noProof/>
                <w:webHidden/>
              </w:rPr>
              <w:fldChar w:fldCharType="begin"/>
            </w:r>
            <w:r w:rsidR="00FF7BA1">
              <w:rPr>
                <w:noProof/>
                <w:webHidden/>
              </w:rPr>
              <w:instrText xml:space="preserve"> PAGEREF _Toc172294774 \h </w:instrText>
            </w:r>
            <w:r w:rsidR="00FF7BA1">
              <w:rPr>
                <w:noProof/>
                <w:webHidden/>
              </w:rPr>
            </w:r>
            <w:r w:rsidR="00FF7BA1">
              <w:rPr>
                <w:noProof/>
                <w:webHidden/>
              </w:rPr>
              <w:fldChar w:fldCharType="separate"/>
            </w:r>
            <w:r w:rsidR="00FF7BA1">
              <w:rPr>
                <w:noProof/>
                <w:webHidden/>
              </w:rPr>
              <w:t>18</w:t>
            </w:r>
            <w:r w:rsidR="00FF7BA1">
              <w:rPr>
                <w:noProof/>
                <w:webHidden/>
              </w:rPr>
              <w:fldChar w:fldCharType="end"/>
            </w:r>
          </w:hyperlink>
        </w:p>
        <w:p w14:paraId="32533CEA" w14:textId="15CC09CB"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75" w:history="1">
            <w:r w:rsidR="00FF7BA1" w:rsidRPr="0006635B">
              <w:rPr>
                <w:rStyle w:val="Hyperlink"/>
                <w:rFonts w:eastAsia="Times New Roman"/>
                <w:noProof/>
                <w:snapToGrid w:val="0"/>
                <w:lang w:eastAsia="de-DE"/>
              </w:rPr>
              <w:t>6.4.2</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Net Stable Funding Ratio (NSFR/sNSFR)</w:t>
            </w:r>
            <w:r w:rsidR="00FF7BA1">
              <w:rPr>
                <w:noProof/>
                <w:webHidden/>
              </w:rPr>
              <w:tab/>
            </w:r>
            <w:r w:rsidR="00FF7BA1">
              <w:rPr>
                <w:noProof/>
                <w:webHidden/>
              </w:rPr>
              <w:fldChar w:fldCharType="begin"/>
            </w:r>
            <w:r w:rsidR="00FF7BA1">
              <w:rPr>
                <w:noProof/>
                <w:webHidden/>
              </w:rPr>
              <w:instrText xml:space="preserve"> PAGEREF _Toc172294775 \h </w:instrText>
            </w:r>
            <w:r w:rsidR="00FF7BA1">
              <w:rPr>
                <w:noProof/>
                <w:webHidden/>
              </w:rPr>
            </w:r>
            <w:r w:rsidR="00FF7BA1">
              <w:rPr>
                <w:noProof/>
                <w:webHidden/>
              </w:rPr>
              <w:fldChar w:fldCharType="separate"/>
            </w:r>
            <w:r w:rsidR="00FF7BA1">
              <w:rPr>
                <w:noProof/>
                <w:webHidden/>
              </w:rPr>
              <w:t>18</w:t>
            </w:r>
            <w:r w:rsidR="00FF7BA1">
              <w:rPr>
                <w:noProof/>
                <w:webHidden/>
              </w:rPr>
              <w:fldChar w:fldCharType="end"/>
            </w:r>
          </w:hyperlink>
        </w:p>
        <w:p w14:paraId="3E54A70A" w14:textId="43845D0E"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76" w:history="1">
            <w:r w:rsidR="00FF7BA1" w:rsidRPr="0006635B">
              <w:rPr>
                <w:rStyle w:val="Hyperlink"/>
                <w:rFonts w:eastAsia="Times New Roman"/>
                <w:noProof/>
                <w:snapToGrid w:val="0"/>
                <w:lang w:eastAsia="de-DE"/>
              </w:rPr>
              <w:t>6.4.3</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Additional Liquidity Monitoring Metrics (ALMM)</w:t>
            </w:r>
            <w:r w:rsidR="00FF7BA1">
              <w:rPr>
                <w:noProof/>
                <w:webHidden/>
              </w:rPr>
              <w:tab/>
            </w:r>
            <w:r w:rsidR="00FF7BA1">
              <w:rPr>
                <w:noProof/>
                <w:webHidden/>
              </w:rPr>
              <w:fldChar w:fldCharType="begin"/>
            </w:r>
            <w:r w:rsidR="00FF7BA1">
              <w:rPr>
                <w:noProof/>
                <w:webHidden/>
              </w:rPr>
              <w:instrText xml:space="preserve"> PAGEREF _Toc172294776 \h </w:instrText>
            </w:r>
            <w:r w:rsidR="00FF7BA1">
              <w:rPr>
                <w:noProof/>
                <w:webHidden/>
              </w:rPr>
            </w:r>
            <w:r w:rsidR="00FF7BA1">
              <w:rPr>
                <w:noProof/>
                <w:webHidden/>
              </w:rPr>
              <w:fldChar w:fldCharType="separate"/>
            </w:r>
            <w:r w:rsidR="00FF7BA1">
              <w:rPr>
                <w:noProof/>
                <w:webHidden/>
              </w:rPr>
              <w:t>19</w:t>
            </w:r>
            <w:r w:rsidR="00FF7BA1">
              <w:rPr>
                <w:noProof/>
                <w:webHidden/>
              </w:rPr>
              <w:fldChar w:fldCharType="end"/>
            </w:r>
          </w:hyperlink>
        </w:p>
        <w:p w14:paraId="5098EFCA" w14:textId="15B16208" w:rsidR="00FF7BA1" w:rsidRDefault="00103181">
          <w:pPr>
            <w:pStyle w:val="Verzeichnis2"/>
            <w:rPr>
              <w:rFonts w:asciiTheme="minorHAnsi" w:eastAsiaTheme="minorEastAsia" w:hAnsiTheme="minorHAnsi"/>
              <w:kern w:val="2"/>
              <w:lang w:eastAsia="de-DE"/>
              <w14:ligatures w14:val="standardContextual"/>
            </w:rPr>
          </w:pPr>
          <w:hyperlink w:anchor="_Toc172294777" w:history="1">
            <w:r w:rsidR="00FF7BA1" w:rsidRPr="0006635B">
              <w:rPr>
                <w:rStyle w:val="Hyperlink"/>
                <w:rFonts w:eastAsia="Times New Roman"/>
                <w:snapToGrid w:val="0"/>
                <w:lang w:eastAsia="de-DE"/>
              </w:rPr>
              <w:t>6.5</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Bilanzstatistisches Meldewesen</w:t>
            </w:r>
            <w:r w:rsidR="00FF7BA1">
              <w:rPr>
                <w:webHidden/>
              </w:rPr>
              <w:tab/>
            </w:r>
            <w:r w:rsidR="00FF7BA1">
              <w:rPr>
                <w:webHidden/>
              </w:rPr>
              <w:fldChar w:fldCharType="begin"/>
            </w:r>
            <w:r w:rsidR="00FF7BA1">
              <w:rPr>
                <w:webHidden/>
              </w:rPr>
              <w:instrText xml:space="preserve"> PAGEREF _Toc172294777 \h </w:instrText>
            </w:r>
            <w:r w:rsidR="00FF7BA1">
              <w:rPr>
                <w:webHidden/>
              </w:rPr>
            </w:r>
            <w:r w:rsidR="00FF7BA1">
              <w:rPr>
                <w:webHidden/>
              </w:rPr>
              <w:fldChar w:fldCharType="separate"/>
            </w:r>
            <w:r w:rsidR="00FF7BA1">
              <w:rPr>
                <w:webHidden/>
              </w:rPr>
              <w:t>20</w:t>
            </w:r>
            <w:r w:rsidR="00FF7BA1">
              <w:rPr>
                <w:webHidden/>
              </w:rPr>
              <w:fldChar w:fldCharType="end"/>
            </w:r>
          </w:hyperlink>
        </w:p>
        <w:p w14:paraId="16340B53" w14:textId="4E07729D"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78" w:history="1">
            <w:r w:rsidR="00FF7BA1" w:rsidRPr="0006635B">
              <w:rPr>
                <w:rStyle w:val="Hyperlink"/>
                <w:noProof/>
                <w:lang w:eastAsia="de-DE"/>
              </w:rPr>
              <w:t>6.5.1</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Bista</w:t>
            </w:r>
            <w:r w:rsidR="00FF7BA1">
              <w:rPr>
                <w:noProof/>
                <w:webHidden/>
              </w:rPr>
              <w:tab/>
            </w:r>
            <w:r w:rsidR="00FF7BA1">
              <w:rPr>
                <w:noProof/>
                <w:webHidden/>
              </w:rPr>
              <w:tab/>
            </w:r>
            <w:r w:rsidR="00FF7BA1">
              <w:rPr>
                <w:noProof/>
                <w:webHidden/>
              </w:rPr>
              <w:tab/>
            </w:r>
            <w:r w:rsidR="00FF7BA1">
              <w:rPr>
                <w:noProof/>
                <w:webHidden/>
              </w:rPr>
              <w:fldChar w:fldCharType="begin"/>
            </w:r>
            <w:r w:rsidR="00FF7BA1">
              <w:rPr>
                <w:noProof/>
                <w:webHidden/>
              </w:rPr>
              <w:instrText xml:space="preserve"> PAGEREF _Toc172294778 \h </w:instrText>
            </w:r>
            <w:r w:rsidR="00FF7BA1">
              <w:rPr>
                <w:noProof/>
                <w:webHidden/>
              </w:rPr>
            </w:r>
            <w:r w:rsidR="00FF7BA1">
              <w:rPr>
                <w:noProof/>
                <w:webHidden/>
              </w:rPr>
              <w:fldChar w:fldCharType="separate"/>
            </w:r>
            <w:r w:rsidR="00FF7BA1">
              <w:rPr>
                <w:noProof/>
                <w:webHidden/>
              </w:rPr>
              <w:t>20</w:t>
            </w:r>
            <w:r w:rsidR="00FF7BA1">
              <w:rPr>
                <w:noProof/>
                <w:webHidden/>
              </w:rPr>
              <w:fldChar w:fldCharType="end"/>
            </w:r>
          </w:hyperlink>
        </w:p>
        <w:p w14:paraId="65A33B0D" w14:textId="0C0FCFD5"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79" w:history="1">
            <w:r w:rsidR="00FF7BA1" w:rsidRPr="0006635B">
              <w:rPr>
                <w:rStyle w:val="Hyperlink"/>
                <w:noProof/>
                <w:lang w:eastAsia="de-DE"/>
              </w:rPr>
              <w:t>6.5.2</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FINREP</w:t>
            </w:r>
            <w:r w:rsidR="00FF7BA1">
              <w:rPr>
                <w:noProof/>
                <w:webHidden/>
              </w:rPr>
              <w:tab/>
            </w:r>
            <w:r w:rsidR="00FF7BA1">
              <w:rPr>
                <w:noProof/>
                <w:webHidden/>
              </w:rPr>
              <w:tab/>
            </w:r>
            <w:r w:rsidR="00FF7BA1">
              <w:rPr>
                <w:noProof/>
                <w:webHidden/>
              </w:rPr>
              <w:fldChar w:fldCharType="begin"/>
            </w:r>
            <w:r w:rsidR="00FF7BA1">
              <w:rPr>
                <w:noProof/>
                <w:webHidden/>
              </w:rPr>
              <w:instrText xml:space="preserve"> PAGEREF _Toc172294779 \h </w:instrText>
            </w:r>
            <w:r w:rsidR="00FF7BA1">
              <w:rPr>
                <w:noProof/>
                <w:webHidden/>
              </w:rPr>
            </w:r>
            <w:r w:rsidR="00FF7BA1">
              <w:rPr>
                <w:noProof/>
                <w:webHidden/>
              </w:rPr>
              <w:fldChar w:fldCharType="separate"/>
            </w:r>
            <w:r w:rsidR="00FF7BA1">
              <w:rPr>
                <w:noProof/>
                <w:webHidden/>
              </w:rPr>
              <w:t>20</w:t>
            </w:r>
            <w:r w:rsidR="00FF7BA1">
              <w:rPr>
                <w:noProof/>
                <w:webHidden/>
              </w:rPr>
              <w:fldChar w:fldCharType="end"/>
            </w:r>
          </w:hyperlink>
        </w:p>
        <w:p w14:paraId="421D6200" w14:textId="7A2999D4" w:rsidR="00FF7BA1" w:rsidRDefault="00103181">
          <w:pPr>
            <w:pStyle w:val="Verzeichnis2"/>
            <w:rPr>
              <w:rFonts w:asciiTheme="minorHAnsi" w:eastAsiaTheme="minorEastAsia" w:hAnsiTheme="minorHAnsi"/>
              <w:kern w:val="2"/>
              <w:lang w:eastAsia="de-DE"/>
              <w14:ligatures w14:val="standardContextual"/>
            </w:rPr>
          </w:pPr>
          <w:hyperlink w:anchor="_Toc172294780" w:history="1">
            <w:r w:rsidR="00FF7BA1" w:rsidRPr="0006635B">
              <w:rPr>
                <w:rStyle w:val="Hyperlink"/>
                <w:rFonts w:eastAsia="Times New Roman"/>
                <w:snapToGrid w:val="0"/>
                <w:lang w:eastAsia="de-DE"/>
              </w:rPr>
              <w:t>6.6</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Weitere Meldepflichten</w:t>
            </w:r>
            <w:r w:rsidR="00FF7BA1">
              <w:rPr>
                <w:webHidden/>
              </w:rPr>
              <w:tab/>
            </w:r>
            <w:r w:rsidR="00FF7BA1">
              <w:rPr>
                <w:webHidden/>
              </w:rPr>
              <w:fldChar w:fldCharType="begin"/>
            </w:r>
            <w:r w:rsidR="00FF7BA1">
              <w:rPr>
                <w:webHidden/>
              </w:rPr>
              <w:instrText xml:space="preserve"> PAGEREF _Toc172294780 \h </w:instrText>
            </w:r>
            <w:r w:rsidR="00FF7BA1">
              <w:rPr>
                <w:webHidden/>
              </w:rPr>
            </w:r>
            <w:r w:rsidR="00FF7BA1">
              <w:rPr>
                <w:webHidden/>
              </w:rPr>
              <w:fldChar w:fldCharType="separate"/>
            </w:r>
            <w:r w:rsidR="00FF7BA1">
              <w:rPr>
                <w:webHidden/>
              </w:rPr>
              <w:t>21</w:t>
            </w:r>
            <w:r w:rsidR="00FF7BA1">
              <w:rPr>
                <w:webHidden/>
              </w:rPr>
              <w:fldChar w:fldCharType="end"/>
            </w:r>
          </w:hyperlink>
        </w:p>
        <w:p w14:paraId="7C4572A3" w14:textId="4849A70C"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81" w:history="1">
            <w:r w:rsidR="00FF7BA1" w:rsidRPr="0006635B">
              <w:rPr>
                <w:rStyle w:val="Hyperlink"/>
                <w:rFonts w:eastAsia="Times New Roman"/>
                <w:noProof/>
                <w:snapToGrid w:val="0"/>
                <w:lang w:eastAsia="de-DE"/>
              </w:rPr>
              <w:t>6.6.1</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Leverage Ratio</w:t>
            </w:r>
            <w:r w:rsidR="00FF7BA1">
              <w:rPr>
                <w:noProof/>
                <w:webHidden/>
              </w:rPr>
              <w:tab/>
            </w:r>
            <w:r w:rsidR="00FF7BA1">
              <w:rPr>
                <w:noProof/>
                <w:webHidden/>
              </w:rPr>
              <w:fldChar w:fldCharType="begin"/>
            </w:r>
            <w:r w:rsidR="00FF7BA1">
              <w:rPr>
                <w:noProof/>
                <w:webHidden/>
              </w:rPr>
              <w:instrText xml:space="preserve"> PAGEREF _Toc172294781 \h </w:instrText>
            </w:r>
            <w:r w:rsidR="00FF7BA1">
              <w:rPr>
                <w:noProof/>
                <w:webHidden/>
              </w:rPr>
            </w:r>
            <w:r w:rsidR="00FF7BA1">
              <w:rPr>
                <w:noProof/>
                <w:webHidden/>
              </w:rPr>
              <w:fldChar w:fldCharType="separate"/>
            </w:r>
            <w:r w:rsidR="00FF7BA1">
              <w:rPr>
                <w:noProof/>
                <w:webHidden/>
              </w:rPr>
              <w:t>21</w:t>
            </w:r>
            <w:r w:rsidR="00FF7BA1">
              <w:rPr>
                <w:noProof/>
                <w:webHidden/>
              </w:rPr>
              <w:fldChar w:fldCharType="end"/>
            </w:r>
          </w:hyperlink>
        </w:p>
        <w:p w14:paraId="0F4BD2DA" w14:textId="5F3F74E3"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82" w:history="1">
            <w:r w:rsidR="00FF7BA1" w:rsidRPr="0006635B">
              <w:rPr>
                <w:rStyle w:val="Hyperlink"/>
                <w:rFonts w:eastAsia="Times New Roman"/>
                <w:noProof/>
                <w:snapToGrid w:val="0"/>
                <w:lang w:eastAsia="de-DE"/>
              </w:rPr>
              <w:t>6.6.2</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rFonts w:eastAsia="Times New Roman"/>
                <w:noProof/>
                <w:snapToGrid w:val="0"/>
                <w:lang w:eastAsia="de-DE"/>
              </w:rPr>
              <w:t>Asset Encumbrance</w:t>
            </w:r>
            <w:r w:rsidR="00FF7BA1">
              <w:rPr>
                <w:noProof/>
                <w:webHidden/>
              </w:rPr>
              <w:tab/>
            </w:r>
            <w:r w:rsidR="00FF7BA1">
              <w:rPr>
                <w:noProof/>
                <w:webHidden/>
              </w:rPr>
              <w:fldChar w:fldCharType="begin"/>
            </w:r>
            <w:r w:rsidR="00FF7BA1">
              <w:rPr>
                <w:noProof/>
                <w:webHidden/>
              </w:rPr>
              <w:instrText xml:space="preserve"> PAGEREF _Toc172294782 \h </w:instrText>
            </w:r>
            <w:r w:rsidR="00FF7BA1">
              <w:rPr>
                <w:noProof/>
                <w:webHidden/>
              </w:rPr>
            </w:r>
            <w:r w:rsidR="00FF7BA1">
              <w:rPr>
                <w:noProof/>
                <w:webHidden/>
              </w:rPr>
              <w:fldChar w:fldCharType="separate"/>
            </w:r>
            <w:r w:rsidR="00FF7BA1">
              <w:rPr>
                <w:noProof/>
                <w:webHidden/>
              </w:rPr>
              <w:t>21</w:t>
            </w:r>
            <w:r w:rsidR="00FF7BA1">
              <w:rPr>
                <w:noProof/>
                <w:webHidden/>
              </w:rPr>
              <w:fldChar w:fldCharType="end"/>
            </w:r>
          </w:hyperlink>
        </w:p>
        <w:p w14:paraId="6AE49D94" w14:textId="5B7554ED"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83" w:history="1">
            <w:r w:rsidR="00FF7BA1" w:rsidRPr="0006635B">
              <w:rPr>
                <w:rStyle w:val="Hyperlink"/>
                <w:noProof/>
              </w:rPr>
              <w:t>6.6.3</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rPr>
              <w:t>FinaRisikoV</w:t>
            </w:r>
            <w:r w:rsidR="00FF7BA1">
              <w:rPr>
                <w:noProof/>
                <w:webHidden/>
              </w:rPr>
              <w:tab/>
            </w:r>
            <w:r w:rsidR="00FF7BA1">
              <w:rPr>
                <w:noProof/>
                <w:webHidden/>
              </w:rPr>
              <w:fldChar w:fldCharType="begin"/>
            </w:r>
            <w:r w:rsidR="00FF7BA1">
              <w:rPr>
                <w:noProof/>
                <w:webHidden/>
              </w:rPr>
              <w:instrText xml:space="preserve"> PAGEREF _Toc172294783 \h </w:instrText>
            </w:r>
            <w:r w:rsidR="00FF7BA1">
              <w:rPr>
                <w:noProof/>
                <w:webHidden/>
              </w:rPr>
            </w:r>
            <w:r w:rsidR="00FF7BA1">
              <w:rPr>
                <w:noProof/>
                <w:webHidden/>
              </w:rPr>
              <w:fldChar w:fldCharType="separate"/>
            </w:r>
            <w:r w:rsidR="00FF7BA1">
              <w:rPr>
                <w:noProof/>
                <w:webHidden/>
              </w:rPr>
              <w:t>22</w:t>
            </w:r>
            <w:r w:rsidR="00FF7BA1">
              <w:rPr>
                <w:noProof/>
                <w:webHidden/>
              </w:rPr>
              <w:fldChar w:fldCharType="end"/>
            </w:r>
          </w:hyperlink>
        </w:p>
        <w:p w14:paraId="5F7E334B" w14:textId="2F409B43"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84" w:history="1">
            <w:r w:rsidR="00FF7BA1" w:rsidRPr="0006635B">
              <w:rPr>
                <w:rStyle w:val="Hyperlink"/>
                <w:noProof/>
              </w:rPr>
              <w:t>6.6.4</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rPr>
              <w:t>Offenlegungsbericht</w:t>
            </w:r>
            <w:r w:rsidR="00FF7BA1">
              <w:rPr>
                <w:noProof/>
                <w:webHidden/>
              </w:rPr>
              <w:tab/>
            </w:r>
            <w:r w:rsidR="00FF7BA1">
              <w:rPr>
                <w:noProof/>
                <w:webHidden/>
              </w:rPr>
              <w:fldChar w:fldCharType="begin"/>
            </w:r>
            <w:r w:rsidR="00FF7BA1">
              <w:rPr>
                <w:noProof/>
                <w:webHidden/>
              </w:rPr>
              <w:instrText xml:space="preserve"> PAGEREF _Toc172294784 \h </w:instrText>
            </w:r>
            <w:r w:rsidR="00FF7BA1">
              <w:rPr>
                <w:noProof/>
                <w:webHidden/>
              </w:rPr>
            </w:r>
            <w:r w:rsidR="00FF7BA1">
              <w:rPr>
                <w:noProof/>
                <w:webHidden/>
              </w:rPr>
              <w:fldChar w:fldCharType="separate"/>
            </w:r>
            <w:r w:rsidR="00FF7BA1">
              <w:rPr>
                <w:noProof/>
                <w:webHidden/>
              </w:rPr>
              <w:t>22</w:t>
            </w:r>
            <w:r w:rsidR="00FF7BA1">
              <w:rPr>
                <w:noProof/>
                <w:webHidden/>
              </w:rPr>
              <w:fldChar w:fldCharType="end"/>
            </w:r>
          </w:hyperlink>
        </w:p>
        <w:p w14:paraId="0782C042" w14:textId="0F6699A0" w:rsidR="00FF7BA1" w:rsidRDefault="00103181" w:rsidP="00FF7BA1">
          <w:pPr>
            <w:pStyle w:val="Verzeichnis3"/>
            <w:rPr>
              <w:rFonts w:asciiTheme="minorHAnsi" w:eastAsiaTheme="minorEastAsia" w:hAnsiTheme="minorHAnsi"/>
              <w:noProof/>
              <w:color w:val="auto"/>
              <w:kern w:val="2"/>
              <w:lang w:eastAsia="de-DE"/>
              <w14:ligatures w14:val="standardContextual"/>
            </w:rPr>
          </w:pPr>
          <w:hyperlink w:anchor="_Toc172294785" w:history="1">
            <w:r w:rsidR="00FF7BA1" w:rsidRPr="0006635B">
              <w:rPr>
                <w:rStyle w:val="Hyperlink"/>
                <w:noProof/>
                <w:lang w:eastAsia="de-DE"/>
              </w:rPr>
              <w:t>6.6.5</w:t>
            </w:r>
            <w:r w:rsidR="00FF7BA1">
              <w:rPr>
                <w:rFonts w:asciiTheme="minorHAnsi" w:eastAsiaTheme="minorEastAsia" w:hAnsiTheme="minorHAnsi"/>
                <w:noProof/>
                <w:color w:val="auto"/>
                <w:kern w:val="2"/>
                <w:lang w:eastAsia="de-DE"/>
                <w14:ligatures w14:val="standardContextual"/>
              </w:rPr>
              <w:tab/>
            </w:r>
            <w:r w:rsidR="00FF7BA1" w:rsidRPr="0006635B">
              <w:rPr>
                <w:rStyle w:val="Hyperlink"/>
                <w:noProof/>
                <w:lang w:eastAsia="de-DE"/>
              </w:rPr>
              <w:t>Sonstige Meldepflichten</w:t>
            </w:r>
            <w:r w:rsidR="00FF7BA1">
              <w:rPr>
                <w:noProof/>
                <w:webHidden/>
              </w:rPr>
              <w:tab/>
            </w:r>
            <w:r w:rsidR="00FF7BA1">
              <w:rPr>
                <w:noProof/>
                <w:webHidden/>
              </w:rPr>
              <w:fldChar w:fldCharType="begin"/>
            </w:r>
            <w:r w:rsidR="00FF7BA1">
              <w:rPr>
                <w:noProof/>
                <w:webHidden/>
              </w:rPr>
              <w:instrText xml:space="preserve"> PAGEREF _Toc172294785 \h </w:instrText>
            </w:r>
            <w:r w:rsidR="00FF7BA1">
              <w:rPr>
                <w:noProof/>
                <w:webHidden/>
              </w:rPr>
            </w:r>
            <w:r w:rsidR="00FF7BA1">
              <w:rPr>
                <w:noProof/>
                <w:webHidden/>
              </w:rPr>
              <w:fldChar w:fldCharType="separate"/>
            </w:r>
            <w:r w:rsidR="00FF7BA1">
              <w:rPr>
                <w:noProof/>
                <w:webHidden/>
              </w:rPr>
              <w:t>22</w:t>
            </w:r>
            <w:r w:rsidR="00FF7BA1">
              <w:rPr>
                <w:noProof/>
                <w:webHidden/>
              </w:rPr>
              <w:fldChar w:fldCharType="end"/>
            </w:r>
          </w:hyperlink>
        </w:p>
        <w:p w14:paraId="3E1648B1" w14:textId="04614AF3" w:rsidR="00FF7BA1" w:rsidRDefault="00103181">
          <w:pPr>
            <w:pStyle w:val="Verzeichnis1"/>
            <w:rPr>
              <w:rFonts w:asciiTheme="minorHAnsi" w:eastAsiaTheme="minorEastAsia" w:hAnsiTheme="minorHAnsi"/>
              <w:b w:val="0"/>
              <w:noProof/>
              <w:kern w:val="2"/>
              <w:lang w:eastAsia="de-DE"/>
              <w14:ligatures w14:val="standardContextual"/>
            </w:rPr>
          </w:pPr>
          <w:hyperlink w:anchor="_Toc172294786" w:history="1">
            <w:r w:rsidR="00FF7BA1" w:rsidRPr="0006635B">
              <w:rPr>
                <w:rStyle w:val="Hyperlink"/>
                <w:rFonts w:eastAsia="Times New Roman"/>
                <w:noProof/>
                <w:snapToGrid w:val="0"/>
                <w:lang w:eastAsia="de-DE"/>
              </w:rPr>
              <w:t>7</w:t>
            </w:r>
            <w:r w:rsidR="00FF7BA1">
              <w:rPr>
                <w:rFonts w:asciiTheme="minorHAnsi" w:eastAsiaTheme="minorEastAsia" w:hAnsiTheme="minorHAnsi"/>
                <w:b w:val="0"/>
                <w:noProof/>
                <w:kern w:val="2"/>
                <w:lang w:eastAsia="de-DE"/>
                <w14:ligatures w14:val="standardContextual"/>
              </w:rPr>
              <w:tab/>
            </w:r>
            <w:r w:rsidR="00FF7BA1" w:rsidRPr="0006635B">
              <w:rPr>
                <w:rStyle w:val="Hyperlink"/>
                <w:rFonts w:eastAsia="Times New Roman"/>
                <w:noProof/>
                <w:snapToGrid w:val="0"/>
                <w:lang w:eastAsia="de-DE"/>
              </w:rPr>
              <w:t>Dokumentation</w:t>
            </w:r>
            <w:r w:rsidR="00FF7BA1">
              <w:rPr>
                <w:noProof/>
                <w:webHidden/>
              </w:rPr>
              <w:tab/>
            </w:r>
            <w:r w:rsidR="00FF7BA1">
              <w:rPr>
                <w:noProof/>
                <w:webHidden/>
              </w:rPr>
              <w:fldChar w:fldCharType="begin"/>
            </w:r>
            <w:r w:rsidR="00FF7BA1">
              <w:rPr>
                <w:noProof/>
                <w:webHidden/>
              </w:rPr>
              <w:instrText xml:space="preserve"> PAGEREF _Toc172294786 \h </w:instrText>
            </w:r>
            <w:r w:rsidR="00FF7BA1">
              <w:rPr>
                <w:noProof/>
                <w:webHidden/>
              </w:rPr>
            </w:r>
            <w:r w:rsidR="00FF7BA1">
              <w:rPr>
                <w:noProof/>
                <w:webHidden/>
              </w:rPr>
              <w:fldChar w:fldCharType="separate"/>
            </w:r>
            <w:r w:rsidR="00FF7BA1">
              <w:rPr>
                <w:noProof/>
                <w:webHidden/>
              </w:rPr>
              <w:t>22</w:t>
            </w:r>
            <w:r w:rsidR="00FF7BA1">
              <w:rPr>
                <w:noProof/>
                <w:webHidden/>
              </w:rPr>
              <w:fldChar w:fldCharType="end"/>
            </w:r>
          </w:hyperlink>
        </w:p>
        <w:p w14:paraId="77EF8849" w14:textId="3B318125" w:rsidR="00FF7BA1" w:rsidRDefault="00103181">
          <w:pPr>
            <w:pStyle w:val="Verzeichnis2"/>
            <w:rPr>
              <w:rFonts w:asciiTheme="minorHAnsi" w:eastAsiaTheme="minorEastAsia" w:hAnsiTheme="minorHAnsi"/>
              <w:kern w:val="2"/>
              <w:lang w:eastAsia="de-DE"/>
              <w14:ligatures w14:val="standardContextual"/>
            </w:rPr>
          </w:pPr>
          <w:hyperlink w:anchor="_Toc172294787" w:history="1">
            <w:r w:rsidR="00FF7BA1" w:rsidRPr="0006635B">
              <w:rPr>
                <w:rStyle w:val="Hyperlink"/>
                <w:rFonts w:eastAsia="Times New Roman"/>
                <w:snapToGrid w:val="0"/>
                <w:lang w:eastAsia="de-DE"/>
              </w:rPr>
              <w:t>7.1</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Art und Umfang der produktspezifischen Prüfung</w:t>
            </w:r>
            <w:r w:rsidR="00FF7BA1">
              <w:rPr>
                <w:webHidden/>
              </w:rPr>
              <w:tab/>
            </w:r>
            <w:r w:rsidR="00FF7BA1">
              <w:rPr>
                <w:webHidden/>
              </w:rPr>
              <w:fldChar w:fldCharType="begin"/>
            </w:r>
            <w:r w:rsidR="00FF7BA1">
              <w:rPr>
                <w:webHidden/>
              </w:rPr>
              <w:instrText xml:space="preserve"> PAGEREF _Toc172294787 \h </w:instrText>
            </w:r>
            <w:r w:rsidR="00FF7BA1">
              <w:rPr>
                <w:webHidden/>
              </w:rPr>
            </w:r>
            <w:r w:rsidR="00FF7BA1">
              <w:rPr>
                <w:webHidden/>
              </w:rPr>
              <w:fldChar w:fldCharType="separate"/>
            </w:r>
            <w:r w:rsidR="00FF7BA1">
              <w:rPr>
                <w:webHidden/>
              </w:rPr>
              <w:t>22</w:t>
            </w:r>
            <w:r w:rsidR="00FF7BA1">
              <w:rPr>
                <w:webHidden/>
              </w:rPr>
              <w:fldChar w:fldCharType="end"/>
            </w:r>
          </w:hyperlink>
        </w:p>
        <w:p w14:paraId="3B4C5E7E" w14:textId="2F7FEE2C" w:rsidR="00FF7BA1" w:rsidRDefault="00103181">
          <w:pPr>
            <w:pStyle w:val="Verzeichnis2"/>
            <w:rPr>
              <w:rFonts w:asciiTheme="minorHAnsi" w:eastAsiaTheme="minorEastAsia" w:hAnsiTheme="minorHAnsi"/>
              <w:kern w:val="2"/>
              <w:lang w:eastAsia="de-DE"/>
              <w14:ligatures w14:val="standardContextual"/>
            </w:rPr>
          </w:pPr>
          <w:hyperlink w:anchor="_Toc172294788" w:history="1">
            <w:r w:rsidR="00FF7BA1" w:rsidRPr="0006635B">
              <w:rPr>
                <w:rStyle w:val="Hyperlink"/>
                <w:rFonts w:eastAsia="Times New Roman"/>
                <w:snapToGrid w:val="0"/>
                <w:lang w:eastAsia="de-DE"/>
              </w:rPr>
              <w:t>7.2</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Beteiligung Risikocontrolling und Compliance</w:t>
            </w:r>
            <w:r w:rsidR="00FF7BA1">
              <w:rPr>
                <w:webHidden/>
              </w:rPr>
              <w:tab/>
            </w:r>
            <w:r w:rsidR="00FF7BA1">
              <w:rPr>
                <w:webHidden/>
              </w:rPr>
              <w:fldChar w:fldCharType="begin"/>
            </w:r>
            <w:r w:rsidR="00FF7BA1">
              <w:rPr>
                <w:webHidden/>
              </w:rPr>
              <w:instrText xml:space="preserve"> PAGEREF _Toc172294788 \h </w:instrText>
            </w:r>
            <w:r w:rsidR="00FF7BA1">
              <w:rPr>
                <w:webHidden/>
              </w:rPr>
            </w:r>
            <w:r w:rsidR="00FF7BA1">
              <w:rPr>
                <w:webHidden/>
              </w:rPr>
              <w:fldChar w:fldCharType="separate"/>
            </w:r>
            <w:r w:rsidR="00FF7BA1">
              <w:rPr>
                <w:webHidden/>
              </w:rPr>
              <w:t>22</w:t>
            </w:r>
            <w:r w:rsidR="00FF7BA1">
              <w:rPr>
                <w:webHidden/>
              </w:rPr>
              <w:fldChar w:fldCharType="end"/>
            </w:r>
          </w:hyperlink>
        </w:p>
        <w:p w14:paraId="7BD1D8EB" w14:textId="59600E27" w:rsidR="00FF7BA1" w:rsidRDefault="00103181">
          <w:pPr>
            <w:pStyle w:val="Verzeichnis2"/>
            <w:rPr>
              <w:rFonts w:asciiTheme="minorHAnsi" w:eastAsiaTheme="minorEastAsia" w:hAnsiTheme="minorHAnsi"/>
              <w:kern w:val="2"/>
              <w:lang w:eastAsia="de-DE"/>
              <w14:ligatures w14:val="standardContextual"/>
            </w:rPr>
          </w:pPr>
          <w:hyperlink w:anchor="_Toc172294789" w:history="1">
            <w:r w:rsidR="00FF7BA1" w:rsidRPr="0006635B">
              <w:rPr>
                <w:rStyle w:val="Hyperlink"/>
                <w:rFonts w:eastAsia="Times New Roman"/>
                <w:snapToGrid w:val="0"/>
                <w:lang w:eastAsia="de-DE"/>
              </w:rPr>
              <w:t>7.3</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Beteiligung Compliance</w:t>
            </w:r>
            <w:r w:rsidR="00FF7BA1">
              <w:rPr>
                <w:webHidden/>
              </w:rPr>
              <w:tab/>
            </w:r>
            <w:r w:rsidR="00FF7BA1">
              <w:rPr>
                <w:webHidden/>
              </w:rPr>
              <w:fldChar w:fldCharType="begin"/>
            </w:r>
            <w:r w:rsidR="00FF7BA1">
              <w:rPr>
                <w:webHidden/>
              </w:rPr>
              <w:instrText xml:space="preserve"> PAGEREF _Toc172294789 \h </w:instrText>
            </w:r>
            <w:r w:rsidR="00FF7BA1">
              <w:rPr>
                <w:webHidden/>
              </w:rPr>
            </w:r>
            <w:r w:rsidR="00FF7BA1">
              <w:rPr>
                <w:webHidden/>
              </w:rPr>
              <w:fldChar w:fldCharType="separate"/>
            </w:r>
            <w:r w:rsidR="00FF7BA1">
              <w:rPr>
                <w:webHidden/>
              </w:rPr>
              <w:t>23</w:t>
            </w:r>
            <w:r w:rsidR="00FF7BA1">
              <w:rPr>
                <w:webHidden/>
              </w:rPr>
              <w:fldChar w:fldCharType="end"/>
            </w:r>
          </w:hyperlink>
        </w:p>
        <w:p w14:paraId="3C7BA4B6" w14:textId="17D19F88" w:rsidR="00FF7BA1" w:rsidRDefault="00103181">
          <w:pPr>
            <w:pStyle w:val="Verzeichnis2"/>
            <w:rPr>
              <w:rFonts w:asciiTheme="minorHAnsi" w:eastAsiaTheme="minorEastAsia" w:hAnsiTheme="minorHAnsi"/>
              <w:kern w:val="2"/>
              <w:lang w:eastAsia="de-DE"/>
              <w14:ligatures w14:val="standardContextual"/>
            </w:rPr>
          </w:pPr>
          <w:hyperlink w:anchor="_Toc172294790" w:history="1">
            <w:r w:rsidR="00FF7BA1" w:rsidRPr="0006635B">
              <w:rPr>
                <w:rStyle w:val="Hyperlink"/>
                <w:rFonts w:eastAsia="Times New Roman"/>
                <w:snapToGrid w:val="0"/>
                <w:lang w:eastAsia="de-DE"/>
              </w:rPr>
              <w:t>7.4</w:t>
            </w:r>
            <w:r w:rsidR="00FF7BA1">
              <w:rPr>
                <w:rFonts w:asciiTheme="minorHAnsi" w:eastAsiaTheme="minorEastAsia" w:hAnsiTheme="minorHAnsi"/>
                <w:kern w:val="2"/>
                <w:lang w:eastAsia="de-DE"/>
                <w14:ligatures w14:val="standardContextual"/>
              </w:rPr>
              <w:tab/>
            </w:r>
            <w:r w:rsidR="00FF7BA1" w:rsidRPr="0006635B">
              <w:rPr>
                <w:rStyle w:val="Hyperlink"/>
                <w:rFonts w:eastAsia="Times New Roman"/>
                <w:snapToGrid w:val="0"/>
                <w:lang w:eastAsia="de-DE"/>
              </w:rPr>
              <w:t>Testphase und Fachbereichsvoten</w:t>
            </w:r>
            <w:r w:rsidR="00FF7BA1">
              <w:rPr>
                <w:webHidden/>
              </w:rPr>
              <w:tab/>
            </w:r>
            <w:r w:rsidR="00FF7BA1">
              <w:rPr>
                <w:webHidden/>
              </w:rPr>
              <w:fldChar w:fldCharType="begin"/>
            </w:r>
            <w:r w:rsidR="00FF7BA1">
              <w:rPr>
                <w:webHidden/>
              </w:rPr>
              <w:instrText xml:space="preserve"> PAGEREF _Toc172294790 \h </w:instrText>
            </w:r>
            <w:r w:rsidR="00FF7BA1">
              <w:rPr>
                <w:webHidden/>
              </w:rPr>
            </w:r>
            <w:r w:rsidR="00FF7BA1">
              <w:rPr>
                <w:webHidden/>
              </w:rPr>
              <w:fldChar w:fldCharType="separate"/>
            </w:r>
            <w:r w:rsidR="00FF7BA1">
              <w:rPr>
                <w:webHidden/>
              </w:rPr>
              <w:t>23</w:t>
            </w:r>
            <w:r w:rsidR="00FF7BA1">
              <w:rPr>
                <w:webHidden/>
              </w:rPr>
              <w:fldChar w:fldCharType="end"/>
            </w:r>
          </w:hyperlink>
        </w:p>
        <w:p w14:paraId="6E6A9EF9" w14:textId="209CCDAC" w:rsidR="00FF7BA1" w:rsidRDefault="00103181">
          <w:pPr>
            <w:pStyle w:val="Verzeichnis1"/>
            <w:rPr>
              <w:rFonts w:asciiTheme="minorHAnsi" w:eastAsiaTheme="minorEastAsia" w:hAnsiTheme="minorHAnsi"/>
              <w:b w:val="0"/>
              <w:noProof/>
              <w:kern w:val="2"/>
              <w:lang w:eastAsia="de-DE"/>
              <w14:ligatures w14:val="standardContextual"/>
            </w:rPr>
          </w:pPr>
          <w:hyperlink w:anchor="_Toc172294791" w:history="1">
            <w:r w:rsidR="00FF7BA1" w:rsidRPr="0006635B">
              <w:rPr>
                <w:rStyle w:val="Hyperlink"/>
                <w:rFonts w:eastAsia="Times New Roman"/>
                <w:noProof/>
                <w:snapToGrid w:val="0"/>
                <w:lang w:eastAsia="de-DE"/>
              </w:rPr>
              <w:t>8</w:t>
            </w:r>
            <w:r w:rsidR="00FF7BA1">
              <w:rPr>
                <w:rFonts w:asciiTheme="minorHAnsi" w:eastAsiaTheme="minorEastAsia" w:hAnsiTheme="minorHAnsi"/>
                <w:b w:val="0"/>
                <w:noProof/>
                <w:kern w:val="2"/>
                <w:lang w:eastAsia="de-DE"/>
                <w14:ligatures w14:val="standardContextual"/>
              </w:rPr>
              <w:tab/>
            </w:r>
            <w:r w:rsidR="00FF7BA1" w:rsidRPr="0006635B">
              <w:rPr>
                <w:rStyle w:val="Hyperlink"/>
                <w:rFonts w:eastAsia="Times New Roman"/>
                <w:noProof/>
                <w:snapToGrid w:val="0"/>
                <w:lang w:eastAsia="de-DE"/>
              </w:rPr>
              <w:t>Beschluss und Genehmigung</w:t>
            </w:r>
            <w:r w:rsidR="00FF7BA1">
              <w:rPr>
                <w:noProof/>
                <w:webHidden/>
              </w:rPr>
              <w:tab/>
            </w:r>
            <w:r w:rsidR="00FF7BA1">
              <w:rPr>
                <w:noProof/>
                <w:webHidden/>
              </w:rPr>
              <w:fldChar w:fldCharType="begin"/>
            </w:r>
            <w:r w:rsidR="00FF7BA1">
              <w:rPr>
                <w:noProof/>
                <w:webHidden/>
              </w:rPr>
              <w:instrText xml:space="preserve"> PAGEREF _Toc172294791 \h </w:instrText>
            </w:r>
            <w:r w:rsidR="00FF7BA1">
              <w:rPr>
                <w:noProof/>
                <w:webHidden/>
              </w:rPr>
            </w:r>
            <w:r w:rsidR="00FF7BA1">
              <w:rPr>
                <w:noProof/>
                <w:webHidden/>
              </w:rPr>
              <w:fldChar w:fldCharType="separate"/>
            </w:r>
            <w:r w:rsidR="00FF7BA1">
              <w:rPr>
                <w:noProof/>
                <w:webHidden/>
              </w:rPr>
              <w:t>24</w:t>
            </w:r>
            <w:r w:rsidR="00FF7BA1">
              <w:rPr>
                <w:noProof/>
                <w:webHidden/>
              </w:rPr>
              <w:fldChar w:fldCharType="end"/>
            </w:r>
          </w:hyperlink>
        </w:p>
        <w:p w14:paraId="012029CA" w14:textId="5B095FEF" w:rsidR="00D26B3D" w:rsidRPr="003179F8" w:rsidRDefault="00D26B3D" w:rsidP="003179F8">
          <w:pPr>
            <w:jc w:val="both"/>
            <w:rPr>
              <w:sz w:val="24"/>
              <w:szCs w:val="24"/>
            </w:rPr>
          </w:pPr>
          <w:r w:rsidRPr="003179F8">
            <w:rPr>
              <w:b/>
              <w:bCs/>
              <w:sz w:val="24"/>
              <w:szCs w:val="24"/>
            </w:rPr>
            <w:fldChar w:fldCharType="end"/>
          </w:r>
        </w:p>
      </w:sdtContent>
    </w:sdt>
    <w:p w14:paraId="6A0683AF" w14:textId="69539E98" w:rsidR="007C61FE" w:rsidRPr="003179F8" w:rsidRDefault="007C61FE" w:rsidP="003179F8">
      <w:pPr>
        <w:jc w:val="both"/>
        <w:rPr>
          <w:rFonts w:cstheme="minorHAnsi"/>
          <w:sz w:val="24"/>
          <w:szCs w:val="24"/>
        </w:rPr>
      </w:pPr>
      <w:r w:rsidRPr="003179F8">
        <w:rPr>
          <w:rFonts w:cstheme="minorHAnsi"/>
          <w:sz w:val="24"/>
          <w:szCs w:val="24"/>
        </w:rPr>
        <w:br w:type="page"/>
      </w:r>
    </w:p>
    <w:p w14:paraId="6C18F55D" w14:textId="448F04E5" w:rsidR="00F14614" w:rsidRPr="003179F8" w:rsidRDefault="00F14614" w:rsidP="003179F8">
      <w:pPr>
        <w:pStyle w:val="berschrift1"/>
        <w:spacing w:before="0" w:after="100"/>
        <w:jc w:val="both"/>
        <w:rPr>
          <w:rFonts w:eastAsia="Times New Roman"/>
          <w:snapToGrid w:val="0"/>
          <w:sz w:val="24"/>
          <w:szCs w:val="24"/>
          <w:lang w:eastAsia="de-DE"/>
        </w:rPr>
      </w:pPr>
      <w:bookmarkStart w:id="3" w:name="_Toc172294726"/>
      <w:r w:rsidRPr="003179F8">
        <w:rPr>
          <w:rFonts w:eastAsia="Times New Roman"/>
          <w:snapToGrid w:val="0"/>
          <w:sz w:val="24"/>
          <w:szCs w:val="24"/>
          <w:lang w:eastAsia="de-DE"/>
        </w:rPr>
        <w:lastRenderedPageBreak/>
        <w:t>Angaben zum Produkt</w:t>
      </w:r>
      <w:bookmarkEnd w:id="3"/>
    </w:p>
    <w:p w14:paraId="1489D857" w14:textId="4D882FF2" w:rsidR="00F14614" w:rsidRPr="003179F8" w:rsidRDefault="00F14614" w:rsidP="003179F8">
      <w:pPr>
        <w:pStyle w:val="berschrift2"/>
        <w:spacing w:before="0" w:after="100"/>
        <w:jc w:val="both"/>
        <w:rPr>
          <w:rFonts w:eastAsia="Times New Roman"/>
          <w:snapToGrid w:val="0"/>
          <w:sz w:val="24"/>
          <w:szCs w:val="24"/>
          <w:lang w:eastAsia="de-DE"/>
        </w:rPr>
      </w:pPr>
      <w:bookmarkStart w:id="4" w:name="_Toc172294727"/>
      <w:r w:rsidRPr="003179F8">
        <w:rPr>
          <w:rFonts w:eastAsia="Times New Roman"/>
          <w:snapToGrid w:val="0"/>
          <w:sz w:val="24"/>
          <w:szCs w:val="24"/>
          <w:lang w:eastAsia="de-DE"/>
        </w:rPr>
        <w:t>Produktdefinition</w:t>
      </w:r>
      <w:bookmarkEnd w:id="4"/>
    </w:p>
    <w:p w14:paraId="2D456FA6" w14:textId="5F006956" w:rsidR="00D26B3D" w:rsidRPr="003179F8" w:rsidRDefault="00D26B3D" w:rsidP="003179F8">
      <w:pPr>
        <w:jc w:val="both"/>
        <w:rPr>
          <w:sz w:val="24"/>
          <w:szCs w:val="24"/>
          <w:lang w:eastAsia="de-DE"/>
        </w:rPr>
      </w:pPr>
      <w:r w:rsidRPr="003179F8">
        <w:rPr>
          <w:sz w:val="24"/>
          <w:szCs w:val="24"/>
          <w:lang w:eastAsia="de-DE"/>
        </w:rPr>
        <w:t xml:space="preserve">Ein echtes </w:t>
      </w:r>
      <w:proofErr w:type="spellStart"/>
      <w:r w:rsidRPr="003179F8">
        <w:rPr>
          <w:sz w:val="24"/>
          <w:szCs w:val="24"/>
          <w:lang w:eastAsia="de-DE"/>
        </w:rPr>
        <w:t>Repurchase</w:t>
      </w:r>
      <w:proofErr w:type="spellEnd"/>
      <w:r w:rsidRPr="003179F8">
        <w:rPr>
          <w:sz w:val="24"/>
          <w:szCs w:val="24"/>
          <w:lang w:eastAsia="de-DE"/>
        </w:rPr>
        <w:t xml:space="preserve"> Agreement (Repo) oder Pensionsgeschäft ist der Verkauf eines Wertpapieres zum Zeitpunkt t</w:t>
      </w:r>
      <w:r w:rsidRPr="00FD3E79">
        <w:rPr>
          <w:sz w:val="24"/>
          <w:szCs w:val="24"/>
          <w:vertAlign w:val="subscript"/>
          <w:lang w:eastAsia="de-DE"/>
        </w:rPr>
        <w:t>0</w:t>
      </w:r>
      <w:r w:rsidRPr="003179F8">
        <w:rPr>
          <w:sz w:val="24"/>
          <w:szCs w:val="24"/>
          <w:lang w:eastAsia="de-DE"/>
        </w:rPr>
        <w:t xml:space="preserve"> und der Rückkauf des Wertpapiers zum Termin t</w:t>
      </w:r>
      <w:r w:rsidRPr="00FD3E79">
        <w:rPr>
          <w:sz w:val="24"/>
          <w:szCs w:val="24"/>
          <w:vertAlign w:val="subscript"/>
          <w:lang w:eastAsia="de-DE"/>
        </w:rPr>
        <w:t>1</w:t>
      </w:r>
      <w:r w:rsidRPr="003179F8">
        <w:rPr>
          <w:sz w:val="24"/>
          <w:szCs w:val="24"/>
          <w:lang w:eastAsia="de-DE"/>
        </w:rPr>
        <w:t>. Im Gegenzug erhält der Verkäufer des Wertpapiers (Pensionsgeber) im Zeitpunkt t</w:t>
      </w:r>
      <w:r w:rsidRPr="00FD3E79">
        <w:rPr>
          <w:sz w:val="24"/>
          <w:szCs w:val="24"/>
          <w:vertAlign w:val="subscript"/>
          <w:lang w:eastAsia="de-DE"/>
        </w:rPr>
        <w:t>0</w:t>
      </w:r>
      <w:r w:rsidRPr="003179F8">
        <w:rPr>
          <w:sz w:val="24"/>
          <w:szCs w:val="24"/>
          <w:lang w:eastAsia="de-DE"/>
        </w:rPr>
        <w:t xml:space="preserve"> vom Käufer des Wertpapiers (Pensionsnehmer) einen Cash-Betrag und zahlt diesen, mit dem Repo-Zinssatz aufgezinst, in t</w:t>
      </w:r>
      <w:r w:rsidRPr="00FD3E79">
        <w:rPr>
          <w:sz w:val="24"/>
          <w:szCs w:val="24"/>
          <w:vertAlign w:val="subscript"/>
          <w:lang w:eastAsia="de-DE"/>
        </w:rPr>
        <w:t>1</w:t>
      </w:r>
      <w:r w:rsidRPr="003179F8">
        <w:rPr>
          <w:sz w:val="24"/>
          <w:szCs w:val="24"/>
          <w:lang w:eastAsia="de-DE"/>
        </w:rPr>
        <w:t xml:space="preserve"> zurück.</w:t>
      </w:r>
      <w:r w:rsidR="007B4EB8" w:rsidRPr="003179F8">
        <w:rPr>
          <w:rStyle w:val="Funotenzeichen"/>
          <w:sz w:val="24"/>
          <w:szCs w:val="24"/>
          <w:lang w:eastAsia="de-DE"/>
        </w:rPr>
        <w:footnoteReference w:id="2"/>
      </w:r>
    </w:p>
    <w:p w14:paraId="2F9264DC" w14:textId="77777777" w:rsidR="00D26B3D" w:rsidRPr="003179F8" w:rsidRDefault="00D26B3D" w:rsidP="003179F8">
      <w:pPr>
        <w:jc w:val="both"/>
        <w:rPr>
          <w:sz w:val="24"/>
          <w:szCs w:val="24"/>
          <w:lang w:eastAsia="de-DE"/>
        </w:rPr>
      </w:pPr>
      <w:r w:rsidRPr="003179F8">
        <w:rPr>
          <w:sz w:val="24"/>
          <w:szCs w:val="24"/>
          <w:lang w:eastAsia="de-DE"/>
        </w:rPr>
        <w:t>Das als Sicherheit verwendete Wertpapier wird dabei nicht verpfändet, sondern an den Käufer (Pensionsnehmer) verkauft. Bei einem Repo wechselt also das rechtliche Eigentum am Wertpapier für die Laufzeit des Repos. Dies hat zur Folge, dass der Pensionsnehmer bei einem Ausfall des Partners (Pensionsgeber) keine Ansprüche auf das Wertpapier geltend zu machen braucht, sondern bereits Eigentümer des Wertpapieres ist.</w:t>
      </w:r>
    </w:p>
    <w:p w14:paraId="1E340864" w14:textId="77777777" w:rsidR="00D26B3D" w:rsidRPr="003179F8" w:rsidRDefault="00D26B3D" w:rsidP="003179F8">
      <w:pPr>
        <w:jc w:val="both"/>
        <w:rPr>
          <w:sz w:val="24"/>
          <w:szCs w:val="24"/>
          <w:lang w:eastAsia="de-DE"/>
        </w:rPr>
      </w:pPr>
      <w:r w:rsidRPr="003179F8">
        <w:rPr>
          <w:sz w:val="24"/>
          <w:szCs w:val="24"/>
          <w:lang w:eastAsia="de-DE"/>
        </w:rPr>
        <w:t>Der Übergang des rechtlichen Eigentums versetzt den Käufer somit in die Lage, das Wertpapier anderweitig zu verwenden.</w:t>
      </w:r>
    </w:p>
    <w:p w14:paraId="7FAECF3F" w14:textId="34991CA3" w:rsidR="00D26B3D" w:rsidRDefault="00D26B3D" w:rsidP="003179F8">
      <w:pPr>
        <w:jc w:val="both"/>
        <w:rPr>
          <w:sz w:val="24"/>
          <w:szCs w:val="24"/>
          <w:lang w:eastAsia="de-DE"/>
        </w:rPr>
      </w:pPr>
      <w:r w:rsidRPr="003179F8">
        <w:rPr>
          <w:sz w:val="24"/>
          <w:szCs w:val="24"/>
          <w:lang w:eastAsia="de-DE"/>
        </w:rPr>
        <w:t>Die folgende Abbildung stellt den Fluss von Wertpapier und Cash-Betrag bei einem klassischen Repo dar.</w:t>
      </w:r>
    </w:p>
    <w:p w14:paraId="6E95FE50" w14:textId="40C1B040" w:rsidR="00D46E1E" w:rsidRPr="00FD3E79" w:rsidRDefault="00CF4F60">
      <w:pPr>
        <w:jc w:val="both"/>
        <w:rPr>
          <w:sz w:val="24"/>
          <w:szCs w:val="24"/>
          <w:lang w:eastAsia="de-DE"/>
        </w:rPr>
      </w:pPr>
      <w:r>
        <w:rPr>
          <w:noProof/>
        </w:rPr>
        <w:drawing>
          <wp:inline distT="0" distB="0" distL="0" distR="0" wp14:anchorId="2C4424EE" wp14:editId="75329102">
            <wp:extent cx="5760720" cy="27095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709545"/>
                    </a:xfrm>
                    <a:prstGeom prst="rect">
                      <a:avLst/>
                    </a:prstGeom>
                  </pic:spPr>
                </pic:pic>
              </a:graphicData>
            </a:graphic>
          </wp:inline>
        </w:drawing>
      </w:r>
    </w:p>
    <w:p w14:paraId="4DAD2846" w14:textId="77777777" w:rsidR="00C107B2" w:rsidRPr="00967FF0" w:rsidRDefault="6D942E9A">
      <w:pPr>
        <w:jc w:val="both"/>
        <w:rPr>
          <w:sz w:val="24"/>
          <w:szCs w:val="24"/>
          <w:lang w:eastAsia="de-DE"/>
        </w:rPr>
      </w:pPr>
      <w:r w:rsidRPr="00967FF0">
        <w:rPr>
          <w:sz w:val="24"/>
          <w:szCs w:val="24"/>
          <w:lang w:eastAsia="de-DE"/>
        </w:rPr>
        <w:t>Ein Reverse Repo ist der Kauf eines Wertpapieres im Zeitpunkt t</w:t>
      </w:r>
      <w:r w:rsidRPr="00967FF0">
        <w:rPr>
          <w:sz w:val="24"/>
          <w:szCs w:val="24"/>
          <w:vertAlign w:val="subscript"/>
          <w:lang w:eastAsia="de-DE"/>
        </w:rPr>
        <w:t>0</w:t>
      </w:r>
      <w:r w:rsidRPr="00967FF0">
        <w:rPr>
          <w:sz w:val="24"/>
          <w:szCs w:val="24"/>
          <w:lang w:eastAsia="de-DE"/>
        </w:rPr>
        <w:t xml:space="preserve"> und der Verkauf des Wertpapiers zum Zeitpunkt t</w:t>
      </w:r>
      <w:r w:rsidRPr="00967FF0">
        <w:rPr>
          <w:sz w:val="24"/>
          <w:szCs w:val="24"/>
          <w:vertAlign w:val="subscript"/>
          <w:lang w:eastAsia="de-DE"/>
        </w:rPr>
        <w:t>1</w:t>
      </w:r>
      <w:r w:rsidRPr="00967FF0">
        <w:rPr>
          <w:sz w:val="24"/>
          <w:szCs w:val="24"/>
          <w:lang w:eastAsia="de-DE"/>
        </w:rPr>
        <w:t>. Im Gegenzug zahlt der Käufer des Wertpapiers (Pensionsnehmer) einen Cash-Betrag in t</w:t>
      </w:r>
      <w:r w:rsidRPr="00967FF0">
        <w:rPr>
          <w:sz w:val="24"/>
          <w:szCs w:val="24"/>
          <w:vertAlign w:val="subscript"/>
          <w:lang w:eastAsia="de-DE"/>
        </w:rPr>
        <w:t>0</w:t>
      </w:r>
      <w:r w:rsidRPr="00967FF0">
        <w:rPr>
          <w:sz w:val="24"/>
          <w:szCs w:val="24"/>
          <w:lang w:eastAsia="de-DE"/>
        </w:rPr>
        <w:t xml:space="preserve"> und erhält zum Zeitpunkt t</w:t>
      </w:r>
      <w:r w:rsidRPr="00967FF0">
        <w:rPr>
          <w:sz w:val="24"/>
          <w:szCs w:val="24"/>
          <w:vertAlign w:val="subscript"/>
          <w:lang w:eastAsia="de-DE"/>
        </w:rPr>
        <w:t>1</w:t>
      </w:r>
      <w:r w:rsidRPr="00967FF0">
        <w:rPr>
          <w:sz w:val="24"/>
          <w:szCs w:val="24"/>
          <w:lang w:eastAsia="de-DE"/>
        </w:rPr>
        <w:t xml:space="preserve"> den mit dem Repo-Zinssatz aufgezinsten Betrag zurück. </w:t>
      </w:r>
    </w:p>
    <w:p w14:paraId="3E6A07A4" w14:textId="7959E02F" w:rsidR="00CF4F60" w:rsidRPr="00967FF0" w:rsidRDefault="00FD3E79">
      <w:pPr>
        <w:jc w:val="both"/>
        <w:rPr>
          <w:sz w:val="24"/>
          <w:szCs w:val="24"/>
          <w:lang w:eastAsia="de-DE"/>
        </w:rPr>
      </w:pPr>
      <w:r w:rsidRPr="00967FF0">
        <w:rPr>
          <w:sz w:val="24"/>
          <w:szCs w:val="24"/>
          <w:lang w:eastAsia="de-DE"/>
        </w:rPr>
        <w:t xml:space="preserve">Diese Geschäftsausprägung wird mangels Relevanz </w:t>
      </w:r>
      <w:r w:rsidR="00C107B2" w:rsidRPr="00967FF0">
        <w:rPr>
          <w:sz w:val="24"/>
          <w:szCs w:val="24"/>
          <w:lang w:eastAsia="de-DE"/>
        </w:rPr>
        <w:t>für unser</w:t>
      </w:r>
      <w:r w:rsidR="00967FF0">
        <w:rPr>
          <w:sz w:val="24"/>
          <w:szCs w:val="24"/>
          <w:lang w:eastAsia="de-DE"/>
        </w:rPr>
        <w:t xml:space="preserve"> Institut</w:t>
      </w:r>
      <w:r w:rsidR="00C107B2" w:rsidRPr="00967FF0">
        <w:rPr>
          <w:sz w:val="24"/>
          <w:szCs w:val="24"/>
          <w:lang w:eastAsia="de-DE"/>
        </w:rPr>
        <w:t xml:space="preserve"> </w:t>
      </w:r>
      <w:r w:rsidRPr="00967FF0">
        <w:rPr>
          <w:sz w:val="24"/>
          <w:szCs w:val="24"/>
          <w:lang w:eastAsia="de-DE"/>
        </w:rPr>
        <w:t>in diesem Dokument nicht weiter betrachtet</w:t>
      </w:r>
      <w:r w:rsidR="00C107B2" w:rsidRPr="00967FF0">
        <w:rPr>
          <w:sz w:val="24"/>
          <w:szCs w:val="24"/>
          <w:lang w:eastAsia="de-DE"/>
        </w:rPr>
        <w:t>.</w:t>
      </w:r>
    </w:p>
    <w:p w14:paraId="7C8389BD" w14:textId="204824C7" w:rsidR="00CF4F60" w:rsidRPr="00310C7B" w:rsidRDefault="00CF4F60" w:rsidP="00310C7B">
      <w:pPr>
        <w:jc w:val="both"/>
        <w:rPr>
          <w:sz w:val="24"/>
          <w:szCs w:val="24"/>
          <w:lang w:eastAsia="de-DE"/>
        </w:rPr>
      </w:pPr>
    </w:p>
    <w:p w14:paraId="073D3649" w14:textId="47C75E24" w:rsidR="00F14614" w:rsidRPr="003179F8" w:rsidRDefault="00F14614" w:rsidP="003179F8">
      <w:pPr>
        <w:pStyle w:val="berschrift2"/>
        <w:spacing w:before="0" w:after="100"/>
        <w:jc w:val="both"/>
        <w:rPr>
          <w:rFonts w:eastAsia="Times New Roman"/>
          <w:snapToGrid w:val="0"/>
          <w:sz w:val="24"/>
          <w:szCs w:val="24"/>
          <w:lang w:eastAsia="de-DE"/>
        </w:rPr>
      </w:pPr>
      <w:bookmarkStart w:id="6" w:name="_Toc172294728"/>
      <w:r w:rsidRPr="003179F8">
        <w:rPr>
          <w:rFonts w:eastAsia="Times New Roman"/>
          <w:snapToGrid w:val="0"/>
          <w:sz w:val="24"/>
          <w:szCs w:val="24"/>
          <w:lang w:eastAsia="de-DE"/>
        </w:rPr>
        <w:lastRenderedPageBreak/>
        <w:t>Geschäftsfeld und Zielsetzung der Einführung</w:t>
      </w:r>
      <w:bookmarkEnd w:id="6"/>
    </w:p>
    <w:p w14:paraId="2EFF2D5A" w14:textId="77777777" w:rsidR="007C61FE" w:rsidRPr="003179F8" w:rsidRDefault="007C61FE" w:rsidP="003179F8">
      <w:pPr>
        <w:jc w:val="both"/>
        <w:rPr>
          <w:rFonts w:eastAsia="Times New Roman" w:cstheme="minorHAnsi"/>
          <w:snapToGrid w:val="0"/>
          <w:color w:val="auto"/>
          <w:sz w:val="24"/>
          <w:szCs w:val="24"/>
          <w:lang w:eastAsia="de-DE"/>
        </w:rPr>
      </w:pPr>
      <w:r w:rsidRPr="003179F8">
        <w:rPr>
          <w:rFonts w:eastAsia="Times New Roman" w:cstheme="minorHAnsi"/>
          <w:snapToGrid w:val="0"/>
          <w:color w:val="auto"/>
          <w:sz w:val="24"/>
          <w:szCs w:val="24"/>
          <w:lang w:eastAsia="de-DE"/>
        </w:rPr>
        <w:t>Der Einsatz von Repo-Geschäften ist im Eigengeschäft vorgesehen. Die Zuordnung erfolgt zum [Anlagebuch/Handelsbuch].</w:t>
      </w:r>
    </w:p>
    <w:p w14:paraId="0E7B8FFE" w14:textId="77777777" w:rsidR="007C61FE" w:rsidRPr="003179F8" w:rsidRDefault="007C61FE" w:rsidP="003179F8">
      <w:pPr>
        <w:jc w:val="both"/>
        <w:rPr>
          <w:rFonts w:eastAsia="Times New Roman" w:cstheme="minorHAnsi"/>
          <w:snapToGrid w:val="0"/>
          <w:color w:val="auto"/>
          <w:sz w:val="24"/>
          <w:szCs w:val="24"/>
          <w:lang w:eastAsia="de-DE"/>
        </w:rPr>
      </w:pPr>
      <w:r w:rsidRPr="003179F8">
        <w:rPr>
          <w:rFonts w:eastAsia="Times New Roman" w:cstheme="minorHAnsi"/>
          <w:snapToGrid w:val="0"/>
          <w:color w:val="auto"/>
          <w:sz w:val="24"/>
          <w:szCs w:val="24"/>
          <w:lang w:eastAsia="de-DE"/>
        </w:rPr>
        <w:t>[Bitte individuelle Formulierung vornehmen, welches Ziel mit der Aufnahme des Geschäftes verfolgt wird. [z.B.</w:t>
      </w:r>
    </w:p>
    <w:p w14:paraId="354FC2E3" w14:textId="77777777" w:rsidR="007C61FE" w:rsidRPr="003179F8" w:rsidRDefault="007C61FE" w:rsidP="003179F8">
      <w:pPr>
        <w:numPr>
          <w:ilvl w:val="0"/>
          <w:numId w:val="13"/>
        </w:numPr>
        <w:jc w:val="both"/>
        <w:rPr>
          <w:rFonts w:eastAsia="Times New Roman" w:cstheme="minorHAnsi"/>
          <w:color w:val="auto"/>
          <w:sz w:val="24"/>
          <w:szCs w:val="24"/>
        </w:rPr>
      </w:pPr>
      <w:r w:rsidRPr="003179F8">
        <w:rPr>
          <w:rFonts w:eastAsia="Times New Roman" w:cstheme="minorHAnsi"/>
          <w:color w:val="auto"/>
          <w:sz w:val="24"/>
          <w:szCs w:val="24"/>
        </w:rPr>
        <w:t xml:space="preserve">Erweiterung der Refinanzierungsinstrumente, </w:t>
      </w:r>
    </w:p>
    <w:p w14:paraId="4FF46078" w14:textId="77777777" w:rsidR="007C61FE" w:rsidRPr="003179F8" w:rsidRDefault="007C61FE" w:rsidP="003179F8">
      <w:pPr>
        <w:numPr>
          <w:ilvl w:val="0"/>
          <w:numId w:val="13"/>
        </w:numPr>
        <w:jc w:val="both"/>
        <w:rPr>
          <w:rFonts w:eastAsia="Times New Roman" w:cstheme="minorHAnsi"/>
          <w:color w:val="auto"/>
          <w:sz w:val="24"/>
          <w:szCs w:val="24"/>
        </w:rPr>
      </w:pPr>
      <w:r w:rsidRPr="003179F8">
        <w:rPr>
          <w:rFonts w:eastAsia="Times New Roman" w:cstheme="minorHAnsi"/>
          <w:color w:val="auto"/>
          <w:sz w:val="24"/>
          <w:szCs w:val="24"/>
        </w:rPr>
        <w:t>Optimierung der Refinanzierungskosten,</w:t>
      </w:r>
    </w:p>
    <w:p w14:paraId="6D25CBE9" w14:textId="77777777" w:rsidR="007C61FE" w:rsidRPr="003179F8" w:rsidRDefault="007C61FE" w:rsidP="003179F8">
      <w:pPr>
        <w:numPr>
          <w:ilvl w:val="0"/>
          <w:numId w:val="13"/>
        </w:numPr>
        <w:jc w:val="both"/>
        <w:rPr>
          <w:rFonts w:eastAsia="Times New Roman" w:cstheme="minorHAnsi"/>
          <w:color w:val="auto"/>
          <w:sz w:val="24"/>
          <w:szCs w:val="24"/>
        </w:rPr>
      </w:pPr>
      <w:r w:rsidRPr="003179F8">
        <w:rPr>
          <w:rFonts w:eastAsia="Times New Roman" w:cstheme="minorHAnsi"/>
          <w:color w:val="auto"/>
          <w:sz w:val="24"/>
          <w:szCs w:val="24"/>
        </w:rPr>
        <w:t>Erfüllung aufsichtsrechtlicher Anforderungen (z.B. LCR, MaRisk, …]</w:t>
      </w:r>
    </w:p>
    <w:p w14:paraId="5E0C8E32" w14:textId="77777777" w:rsidR="007C61FE" w:rsidRPr="003179F8" w:rsidRDefault="007C61FE" w:rsidP="003179F8">
      <w:pPr>
        <w:numPr>
          <w:ilvl w:val="0"/>
          <w:numId w:val="13"/>
        </w:numPr>
        <w:jc w:val="both"/>
        <w:rPr>
          <w:rFonts w:eastAsia="Times New Roman" w:cstheme="minorHAnsi"/>
          <w:color w:val="auto"/>
          <w:sz w:val="24"/>
          <w:szCs w:val="24"/>
        </w:rPr>
      </w:pPr>
      <w:r w:rsidRPr="003179F8">
        <w:rPr>
          <w:rFonts w:eastAsia="Times New Roman" w:cstheme="minorHAnsi"/>
          <w:color w:val="auto"/>
          <w:sz w:val="24"/>
          <w:szCs w:val="24"/>
        </w:rPr>
        <w:t>….</w:t>
      </w:r>
    </w:p>
    <w:p w14:paraId="46737780" w14:textId="77777777" w:rsidR="007C61FE" w:rsidRPr="003179F8" w:rsidRDefault="007C61FE" w:rsidP="003179F8">
      <w:pPr>
        <w:jc w:val="both"/>
        <w:rPr>
          <w:sz w:val="24"/>
          <w:szCs w:val="24"/>
          <w:lang w:eastAsia="de-DE"/>
        </w:rPr>
      </w:pPr>
    </w:p>
    <w:p w14:paraId="5258363B" w14:textId="21C61511" w:rsidR="00F14614" w:rsidRPr="003179F8" w:rsidRDefault="00F14614" w:rsidP="003179F8">
      <w:pPr>
        <w:pStyle w:val="berschrift2"/>
        <w:spacing w:before="0" w:after="100"/>
        <w:jc w:val="both"/>
        <w:rPr>
          <w:rFonts w:eastAsia="Times New Roman"/>
          <w:snapToGrid w:val="0"/>
          <w:sz w:val="24"/>
          <w:szCs w:val="24"/>
          <w:lang w:eastAsia="de-DE"/>
        </w:rPr>
      </w:pPr>
      <w:bookmarkStart w:id="7" w:name="_Toc172294729"/>
      <w:r w:rsidRPr="003179F8">
        <w:rPr>
          <w:rFonts w:eastAsia="Times New Roman"/>
          <w:snapToGrid w:val="0"/>
          <w:sz w:val="24"/>
          <w:szCs w:val="24"/>
          <w:lang w:eastAsia="de-DE"/>
        </w:rPr>
        <w:t>Märkte und Limitierung</w:t>
      </w:r>
      <w:bookmarkEnd w:id="7"/>
    </w:p>
    <w:p w14:paraId="1048CD3E" w14:textId="77777777" w:rsidR="007C61FE" w:rsidRPr="007C61FE" w:rsidRDefault="007C61FE" w:rsidP="003179F8">
      <w:pPr>
        <w:jc w:val="both"/>
        <w:rPr>
          <w:sz w:val="24"/>
          <w:szCs w:val="24"/>
          <w:lang w:eastAsia="de-DE"/>
        </w:rPr>
      </w:pPr>
      <w:r w:rsidRPr="007C61FE">
        <w:rPr>
          <w:sz w:val="24"/>
          <w:szCs w:val="24"/>
          <w:lang w:eastAsia="de-DE"/>
        </w:rPr>
        <w:t>Auf Basis der nachfolgenden Aussagen erfolgte ein Abgleich mit der bestehenden Risikostrategie. Fehlende Aspekte werden durch Erweiterung und Beschluss einer angepassten Risikostrategie entsprechend ergänzt.</w:t>
      </w:r>
    </w:p>
    <w:p w14:paraId="53F68469" w14:textId="77777777" w:rsidR="007C61FE" w:rsidRPr="007C61FE" w:rsidRDefault="007C61FE" w:rsidP="003179F8">
      <w:pPr>
        <w:jc w:val="both"/>
        <w:rPr>
          <w:sz w:val="24"/>
          <w:szCs w:val="24"/>
          <w:lang w:eastAsia="de-DE"/>
        </w:rPr>
      </w:pPr>
      <w:r w:rsidRPr="007C61FE">
        <w:rPr>
          <w:sz w:val="24"/>
          <w:szCs w:val="24"/>
          <w:lang w:eastAsia="de-DE"/>
        </w:rPr>
        <w:t xml:space="preserve">[Das Modul </w:t>
      </w:r>
      <w:proofErr w:type="spellStart"/>
      <w:r w:rsidRPr="007C61FE">
        <w:rPr>
          <w:sz w:val="24"/>
          <w:szCs w:val="24"/>
          <w:lang w:eastAsia="de-DE"/>
        </w:rPr>
        <w:t>EGon</w:t>
      </w:r>
      <w:proofErr w:type="spellEnd"/>
      <w:r w:rsidRPr="007C61FE">
        <w:rPr>
          <w:sz w:val="24"/>
          <w:szCs w:val="24"/>
          <w:lang w:eastAsia="de-DE"/>
        </w:rPr>
        <w:t xml:space="preserve"> Limite ermöglicht eine sachgerechte Abbildung im Emittenten- und </w:t>
      </w:r>
      <w:proofErr w:type="spellStart"/>
      <w:r w:rsidRPr="007C61FE">
        <w:rPr>
          <w:sz w:val="24"/>
          <w:szCs w:val="24"/>
          <w:lang w:eastAsia="de-DE"/>
        </w:rPr>
        <w:t>Strukturlimitsystem</w:t>
      </w:r>
      <w:proofErr w:type="spellEnd"/>
      <w:r w:rsidRPr="007C61FE">
        <w:rPr>
          <w:sz w:val="24"/>
          <w:szCs w:val="24"/>
          <w:lang w:eastAsia="de-DE"/>
        </w:rPr>
        <w:t xml:space="preserve"> unseres Hauses. Details zur technischen Handhabung sind im Handbuch zum Modul </w:t>
      </w:r>
      <w:proofErr w:type="spellStart"/>
      <w:r w:rsidRPr="007C61FE">
        <w:rPr>
          <w:sz w:val="24"/>
          <w:szCs w:val="24"/>
          <w:lang w:eastAsia="de-DE"/>
        </w:rPr>
        <w:t>EGon</w:t>
      </w:r>
      <w:proofErr w:type="spellEnd"/>
      <w:r w:rsidRPr="007C61FE">
        <w:rPr>
          <w:sz w:val="24"/>
          <w:szCs w:val="24"/>
          <w:lang w:eastAsia="de-DE"/>
        </w:rPr>
        <w:t xml:space="preserve"> Limite beschrieben.]</w:t>
      </w:r>
    </w:p>
    <w:p w14:paraId="1E28427E" w14:textId="77777777" w:rsidR="007C61FE" w:rsidRPr="007C61FE" w:rsidRDefault="007C61FE" w:rsidP="003179F8">
      <w:pPr>
        <w:jc w:val="both"/>
        <w:rPr>
          <w:sz w:val="24"/>
          <w:szCs w:val="24"/>
          <w:lang w:eastAsia="de-DE"/>
        </w:rPr>
      </w:pPr>
      <w:r w:rsidRPr="007C61FE">
        <w:rPr>
          <w:sz w:val="24"/>
          <w:szCs w:val="24"/>
          <w:lang w:eastAsia="de-DE"/>
        </w:rPr>
        <w:t>Repo-Geschäfte werden ausschließlich mit nachfolgenden Kontrahenten durchgeführt:</w:t>
      </w:r>
    </w:p>
    <w:p w14:paraId="098B910D" w14:textId="77777777" w:rsidR="007C61FE" w:rsidRPr="007C61FE" w:rsidRDefault="007C61FE" w:rsidP="003179F8">
      <w:pPr>
        <w:numPr>
          <w:ilvl w:val="0"/>
          <w:numId w:val="14"/>
        </w:numPr>
        <w:jc w:val="both"/>
        <w:rPr>
          <w:sz w:val="24"/>
          <w:szCs w:val="24"/>
          <w:lang w:eastAsia="de-DE"/>
        </w:rPr>
      </w:pPr>
      <w:r w:rsidRPr="007C61FE">
        <w:rPr>
          <w:sz w:val="24"/>
          <w:szCs w:val="24"/>
          <w:lang w:eastAsia="de-DE"/>
        </w:rPr>
        <w:t>DZ BANK AG</w:t>
      </w:r>
    </w:p>
    <w:p w14:paraId="4A4858D1" w14:textId="77777777" w:rsidR="007C61FE" w:rsidRPr="007C61FE" w:rsidRDefault="007C61FE" w:rsidP="003179F8">
      <w:pPr>
        <w:numPr>
          <w:ilvl w:val="0"/>
          <w:numId w:val="14"/>
        </w:numPr>
        <w:jc w:val="both"/>
        <w:rPr>
          <w:sz w:val="24"/>
          <w:szCs w:val="24"/>
          <w:lang w:eastAsia="de-DE"/>
        </w:rPr>
      </w:pPr>
      <w:r w:rsidRPr="007C61FE">
        <w:rPr>
          <w:sz w:val="24"/>
          <w:szCs w:val="24"/>
          <w:lang w:eastAsia="de-DE"/>
        </w:rPr>
        <w:t>.....</w:t>
      </w:r>
    </w:p>
    <w:p w14:paraId="6EB88CB7" w14:textId="77777777" w:rsidR="007C61FE" w:rsidRPr="007C61FE" w:rsidRDefault="007C61FE" w:rsidP="003179F8">
      <w:pPr>
        <w:jc w:val="both"/>
        <w:rPr>
          <w:sz w:val="24"/>
          <w:szCs w:val="24"/>
          <w:lang w:eastAsia="de-DE"/>
        </w:rPr>
      </w:pPr>
      <w:r w:rsidRPr="007C61FE">
        <w:rPr>
          <w:sz w:val="24"/>
          <w:szCs w:val="24"/>
          <w:lang w:eastAsia="de-DE"/>
        </w:rPr>
        <w:t xml:space="preserve">Geschäfte in Repos werden ausschließlich auf Basis nachfolgender </w:t>
      </w:r>
      <w:proofErr w:type="spellStart"/>
      <w:r w:rsidRPr="007C61FE">
        <w:rPr>
          <w:sz w:val="24"/>
          <w:szCs w:val="24"/>
          <w:lang w:eastAsia="de-DE"/>
        </w:rPr>
        <w:t>Emittentengruppen</w:t>
      </w:r>
      <w:proofErr w:type="spellEnd"/>
      <w:r w:rsidRPr="007C61FE">
        <w:rPr>
          <w:sz w:val="24"/>
          <w:szCs w:val="24"/>
          <w:lang w:eastAsia="de-DE"/>
        </w:rPr>
        <w:t xml:space="preserve"> durchgeführt:</w:t>
      </w:r>
    </w:p>
    <w:p w14:paraId="38FB32CE" w14:textId="77777777" w:rsidR="007C61FE" w:rsidRPr="007C61FE" w:rsidRDefault="007C61FE" w:rsidP="003179F8">
      <w:pPr>
        <w:numPr>
          <w:ilvl w:val="0"/>
          <w:numId w:val="15"/>
        </w:numPr>
        <w:jc w:val="both"/>
        <w:rPr>
          <w:sz w:val="24"/>
          <w:szCs w:val="24"/>
          <w:lang w:eastAsia="de-DE"/>
        </w:rPr>
      </w:pPr>
      <w:bookmarkStart w:id="8" w:name="_Hlk127352990"/>
      <w:r w:rsidRPr="007C61FE">
        <w:rPr>
          <w:sz w:val="24"/>
          <w:szCs w:val="24"/>
          <w:lang w:eastAsia="de-DE"/>
        </w:rPr>
        <w:t>Staatsanleihen,</w:t>
      </w:r>
    </w:p>
    <w:p w14:paraId="17D8D916" w14:textId="77777777" w:rsidR="007C61FE" w:rsidRPr="007C61FE" w:rsidRDefault="007C61FE" w:rsidP="003179F8">
      <w:pPr>
        <w:numPr>
          <w:ilvl w:val="0"/>
          <w:numId w:val="15"/>
        </w:numPr>
        <w:jc w:val="both"/>
        <w:rPr>
          <w:sz w:val="24"/>
          <w:szCs w:val="24"/>
          <w:lang w:eastAsia="de-DE"/>
        </w:rPr>
      </w:pPr>
      <w:r w:rsidRPr="007C61FE">
        <w:rPr>
          <w:sz w:val="24"/>
          <w:szCs w:val="24"/>
          <w:lang w:eastAsia="de-DE"/>
        </w:rPr>
        <w:t>Pfandbriefe,</w:t>
      </w:r>
    </w:p>
    <w:p w14:paraId="750CE912" w14:textId="77777777" w:rsidR="007C61FE" w:rsidRPr="007C61FE" w:rsidRDefault="007C61FE" w:rsidP="003179F8">
      <w:pPr>
        <w:numPr>
          <w:ilvl w:val="0"/>
          <w:numId w:val="15"/>
        </w:numPr>
        <w:jc w:val="both"/>
        <w:rPr>
          <w:sz w:val="24"/>
          <w:szCs w:val="24"/>
          <w:lang w:eastAsia="de-DE"/>
        </w:rPr>
      </w:pPr>
      <w:proofErr w:type="spellStart"/>
      <w:r w:rsidRPr="007C61FE">
        <w:rPr>
          <w:sz w:val="24"/>
          <w:szCs w:val="24"/>
          <w:lang w:eastAsia="de-DE"/>
        </w:rPr>
        <w:t>Covered</w:t>
      </w:r>
      <w:proofErr w:type="spellEnd"/>
      <w:r w:rsidRPr="007C61FE">
        <w:rPr>
          <w:sz w:val="24"/>
          <w:szCs w:val="24"/>
          <w:lang w:eastAsia="de-DE"/>
        </w:rPr>
        <w:t xml:space="preserve"> Bonds,</w:t>
      </w:r>
    </w:p>
    <w:p w14:paraId="0B564DB4" w14:textId="77777777" w:rsidR="007C61FE" w:rsidRPr="007C61FE" w:rsidRDefault="007C61FE" w:rsidP="003179F8">
      <w:pPr>
        <w:numPr>
          <w:ilvl w:val="0"/>
          <w:numId w:val="15"/>
        </w:numPr>
        <w:jc w:val="both"/>
        <w:rPr>
          <w:sz w:val="24"/>
          <w:szCs w:val="24"/>
          <w:lang w:eastAsia="de-DE"/>
        </w:rPr>
      </w:pPr>
      <w:r w:rsidRPr="007C61FE">
        <w:rPr>
          <w:sz w:val="24"/>
          <w:szCs w:val="24"/>
          <w:lang w:eastAsia="de-DE"/>
        </w:rPr>
        <w:t>Bankschuldverschreibungen,</w:t>
      </w:r>
    </w:p>
    <w:p w14:paraId="08EFB71B" w14:textId="77777777" w:rsidR="007C61FE" w:rsidRPr="007C61FE" w:rsidRDefault="007C61FE" w:rsidP="003179F8">
      <w:pPr>
        <w:numPr>
          <w:ilvl w:val="0"/>
          <w:numId w:val="15"/>
        </w:numPr>
        <w:jc w:val="both"/>
        <w:rPr>
          <w:sz w:val="24"/>
          <w:szCs w:val="24"/>
          <w:lang w:eastAsia="de-DE"/>
        </w:rPr>
      </w:pPr>
      <w:r w:rsidRPr="007C61FE">
        <w:rPr>
          <w:sz w:val="24"/>
          <w:szCs w:val="24"/>
          <w:lang w:eastAsia="de-DE"/>
        </w:rPr>
        <w:t>…..</w:t>
      </w:r>
    </w:p>
    <w:bookmarkEnd w:id="8"/>
    <w:p w14:paraId="6F502993" w14:textId="77777777" w:rsidR="007C61FE" w:rsidRPr="007C61FE" w:rsidRDefault="007C61FE" w:rsidP="003179F8">
      <w:pPr>
        <w:jc w:val="both"/>
        <w:rPr>
          <w:sz w:val="24"/>
          <w:szCs w:val="24"/>
          <w:lang w:eastAsia="de-DE"/>
        </w:rPr>
      </w:pPr>
      <w:r w:rsidRPr="007C61FE">
        <w:rPr>
          <w:sz w:val="24"/>
          <w:szCs w:val="24"/>
          <w:lang w:eastAsia="de-DE"/>
        </w:rPr>
        <w:t xml:space="preserve">[Hinweis: Sofern der zulässige Kontrahenten- bzw. </w:t>
      </w:r>
      <w:proofErr w:type="spellStart"/>
      <w:r w:rsidRPr="007C61FE">
        <w:rPr>
          <w:sz w:val="24"/>
          <w:szCs w:val="24"/>
          <w:lang w:eastAsia="de-DE"/>
        </w:rPr>
        <w:t>Emittentenkreis</w:t>
      </w:r>
      <w:proofErr w:type="spellEnd"/>
      <w:r w:rsidRPr="007C61FE">
        <w:rPr>
          <w:sz w:val="24"/>
          <w:szCs w:val="24"/>
          <w:lang w:eastAsia="de-DE"/>
        </w:rPr>
        <w:t xml:space="preserve"> nicht produktindividuell geregelt werden soll, genügt an dieser Stelle auch ein Verweis auf die allgemeinen internen Regelungen zu den zulässigen Kontrahenten bzw. Emittenten.]</w:t>
      </w:r>
    </w:p>
    <w:p w14:paraId="4722F854" w14:textId="77777777" w:rsidR="007C61FE" w:rsidRPr="003179F8" w:rsidRDefault="007C61FE" w:rsidP="003179F8">
      <w:pPr>
        <w:jc w:val="both"/>
        <w:rPr>
          <w:sz w:val="24"/>
          <w:szCs w:val="24"/>
          <w:lang w:eastAsia="de-DE"/>
        </w:rPr>
      </w:pPr>
    </w:p>
    <w:p w14:paraId="1D25599D" w14:textId="537C7B24" w:rsidR="00F14614" w:rsidRPr="003179F8" w:rsidRDefault="00F14614" w:rsidP="003179F8">
      <w:pPr>
        <w:pStyle w:val="berschrift2"/>
        <w:spacing w:before="0" w:after="100"/>
        <w:jc w:val="both"/>
        <w:rPr>
          <w:rFonts w:eastAsia="Times New Roman"/>
          <w:snapToGrid w:val="0"/>
          <w:sz w:val="24"/>
          <w:szCs w:val="24"/>
          <w:lang w:eastAsia="de-DE"/>
        </w:rPr>
      </w:pPr>
      <w:bookmarkStart w:id="9" w:name="_Toc172294730"/>
      <w:r w:rsidRPr="003179F8">
        <w:rPr>
          <w:rFonts w:eastAsia="Times New Roman"/>
          <w:snapToGrid w:val="0"/>
          <w:sz w:val="24"/>
          <w:szCs w:val="24"/>
          <w:lang w:eastAsia="de-DE"/>
        </w:rPr>
        <w:t>Informationsquellen und Qualifizierung</w:t>
      </w:r>
      <w:bookmarkEnd w:id="9"/>
    </w:p>
    <w:p w14:paraId="5E9BA186"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Informationsquellen</w:t>
      </w:r>
    </w:p>
    <w:p w14:paraId="139080F4"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 Basispräsentationen und Podcast der DZ BANK zu Repo-Geschäften</w:t>
      </w:r>
    </w:p>
    <w:p w14:paraId="29AFBA01"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 VR-Bankenportal-Informationen der DZ BANK</w:t>
      </w:r>
    </w:p>
    <w:p w14:paraId="557F7607"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[Aussagen aufnehmen, welche Informationsquellen zu den Produkten und deren laufender Überwachung zur Verfügung stehen.]</w:t>
      </w:r>
    </w:p>
    <w:p w14:paraId="15DFD731"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Schulungsbedarf</w:t>
      </w:r>
    </w:p>
    <w:p w14:paraId="474F34D0"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lastRenderedPageBreak/>
        <w:t>[Aussagen aufnehmen, wie ggf. bestehender Schulungsbedarf bei den beteiligten Personen gedeckt werden soll.]</w:t>
      </w:r>
    </w:p>
    <w:p w14:paraId="698CEE37" w14:textId="77777777" w:rsidR="007C61FE" w:rsidRPr="003179F8" w:rsidRDefault="007C61FE" w:rsidP="003179F8">
      <w:pPr>
        <w:jc w:val="both"/>
        <w:rPr>
          <w:sz w:val="24"/>
          <w:szCs w:val="24"/>
          <w:lang w:eastAsia="de-DE"/>
        </w:rPr>
      </w:pPr>
    </w:p>
    <w:p w14:paraId="3CEBB041" w14:textId="5F33574B" w:rsidR="00F14614" w:rsidRPr="003179F8" w:rsidRDefault="00F14614" w:rsidP="003179F8">
      <w:pPr>
        <w:pStyle w:val="berschrift1"/>
        <w:spacing w:before="0" w:after="100"/>
        <w:jc w:val="both"/>
        <w:rPr>
          <w:rFonts w:eastAsia="Times New Roman"/>
          <w:snapToGrid w:val="0"/>
          <w:sz w:val="24"/>
          <w:szCs w:val="24"/>
          <w:lang w:eastAsia="de-DE"/>
        </w:rPr>
      </w:pPr>
      <w:bookmarkStart w:id="10" w:name="_Toc172294731"/>
      <w:r w:rsidRPr="003179F8">
        <w:rPr>
          <w:rFonts w:eastAsia="Times New Roman"/>
          <w:snapToGrid w:val="0"/>
          <w:sz w:val="24"/>
          <w:szCs w:val="24"/>
          <w:lang w:eastAsia="de-DE"/>
        </w:rPr>
        <w:t>Handelsprozesse</w:t>
      </w:r>
      <w:bookmarkEnd w:id="10"/>
    </w:p>
    <w:p w14:paraId="38D58DBF" w14:textId="544A4889" w:rsidR="00F14614" w:rsidRPr="003179F8" w:rsidRDefault="00F14614" w:rsidP="003179F8">
      <w:pPr>
        <w:pStyle w:val="berschrift2"/>
        <w:spacing w:before="0" w:after="100"/>
        <w:jc w:val="both"/>
        <w:rPr>
          <w:rFonts w:eastAsia="Times New Roman"/>
          <w:snapToGrid w:val="0"/>
          <w:sz w:val="24"/>
          <w:szCs w:val="24"/>
          <w:lang w:eastAsia="de-DE"/>
        </w:rPr>
      </w:pPr>
      <w:bookmarkStart w:id="11" w:name="_Toc172294732"/>
      <w:r w:rsidRPr="003179F8">
        <w:rPr>
          <w:rFonts w:eastAsia="Times New Roman"/>
          <w:snapToGrid w:val="0"/>
          <w:sz w:val="24"/>
          <w:szCs w:val="24"/>
          <w:lang w:eastAsia="de-DE"/>
        </w:rPr>
        <w:t>Händlerzettel</w:t>
      </w:r>
      <w:bookmarkEnd w:id="11"/>
    </w:p>
    <w:p w14:paraId="39F99F69" w14:textId="77777777" w:rsidR="007C61FE" w:rsidRPr="003179F8" w:rsidRDefault="007C61FE" w:rsidP="003179F8">
      <w:pPr>
        <w:jc w:val="both"/>
        <w:rPr>
          <w:rFonts w:eastAsia="Times New Roman" w:cstheme="minorHAnsi"/>
          <w:snapToGrid w:val="0"/>
          <w:color w:val="auto"/>
          <w:sz w:val="24"/>
          <w:szCs w:val="24"/>
          <w:lang w:eastAsia="de-DE"/>
        </w:rPr>
      </w:pPr>
      <w:r w:rsidRPr="003179F8">
        <w:rPr>
          <w:rFonts w:eastAsia="Times New Roman" w:cstheme="minorHAnsi"/>
          <w:snapToGrid w:val="0"/>
          <w:color w:val="auto"/>
          <w:sz w:val="24"/>
          <w:szCs w:val="24"/>
          <w:lang w:eastAsia="de-DE"/>
        </w:rPr>
        <w:t>Der Geschäftsabschluss ist durch einen mit allen relevanten Geschäftsdaten befüllten Händlerzettel zu dokumentieren.</w:t>
      </w:r>
    </w:p>
    <w:p w14:paraId="40CD808B" w14:textId="7B6240F7" w:rsidR="007C61FE" w:rsidRDefault="009461D5" w:rsidP="003179F8">
      <w:pPr>
        <w:jc w:val="both"/>
        <w:rPr>
          <w:sz w:val="24"/>
          <w:szCs w:val="24"/>
          <w:lang w:eastAsia="de-DE"/>
        </w:rPr>
      </w:pPr>
      <w:r>
        <w:rPr>
          <w:sz w:val="24"/>
          <w:szCs w:val="24"/>
          <w:lang w:eastAsia="de-DE"/>
        </w:rPr>
        <w:t xml:space="preserve">[Zur Dokumentation wird der Händlerzettel für Repos in </w:t>
      </w:r>
      <w:proofErr w:type="spellStart"/>
      <w:r>
        <w:rPr>
          <w:sz w:val="24"/>
          <w:szCs w:val="24"/>
          <w:lang w:eastAsia="de-DE"/>
        </w:rPr>
        <w:t>EGon</w:t>
      </w:r>
      <w:proofErr w:type="spellEnd"/>
      <w:r>
        <w:rPr>
          <w:sz w:val="24"/>
          <w:szCs w:val="24"/>
          <w:lang w:eastAsia="de-DE"/>
        </w:rPr>
        <w:t xml:space="preserve"> verwendet.]</w:t>
      </w:r>
    </w:p>
    <w:p w14:paraId="0D287531" w14:textId="77777777" w:rsidR="009461D5" w:rsidRPr="003179F8" w:rsidRDefault="009461D5" w:rsidP="003179F8">
      <w:pPr>
        <w:jc w:val="both"/>
        <w:rPr>
          <w:sz w:val="24"/>
          <w:szCs w:val="24"/>
          <w:lang w:eastAsia="de-DE"/>
        </w:rPr>
      </w:pPr>
    </w:p>
    <w:p w14:paraId="73ABB3F2" w14:textId="41C36E25" w:rsidR="00F14614" w:rsidRPr="003179F8" w:rsidRDefault="00F14614" w:rsidP="003179F8">
      <w:pPr>
        <w:pStyle w:val="berschrift2"/>
        <w:spacing w:before="0" w:after="100"/>
        <w:jc w:val="both"/>
        <w:rPr>
          <w:rFonts w:eastAsia="Times New Roman"/>
          <w:snapToGrid w:val="0"/>
          <w:sz w:val="24"/>
          <w:szCs w:val="24"/>
          <w:lang w:eastAsia="de-DE"/>
        </w:rPr>
      </w:pPr>
      <w:bookmarkStart w:id="12" w:name="_Toc172294733"/>
      <w:r w:rsidRPr="003179F8">
        <w:rPr>
          <w:rFonts w:eastAsia="Times New Roman"/>
          <w:snapToGrid w:val="0"/>
          <w:sz w:val="24"/>
          <w:szCs w:val="24"/>
          <w:lang w:eastAsia="de-DE"/>
        </w:rPr>
        <w:t>Limitüberprüfung</w:t>
      </w:r>
      <w:bookmarkEnd w:id="12"/>
    </w:p>
    <w:p w14:paraId="2528DCF6" w14:textId="77777777" w:rsidR="007C61FE" w:rsidRDefault="007C61FE" w:rsidP="003179F8">
      <w:pPr>
        <w:jc w:val="both"/>
        <w:rPr>
          <w:color w:val="000000"/>
          <w:sz w:val="24"/>
          <w:szCs w:val="24"/>
        </w:rPr>
      </w:pPr>
      <w:r w:rsidRPr="003179F8">
        <w:rPr>
          <w:color w:val="000000"/>
          <w:sz w:val="24"/>
          <w:szCs w:val="24"/>
        </w:rPr>
        <w:t xml:space="preserve">[Für die Limitierung unserer Eigenanlagen verwenden wir das </w:t>
      </w:r>
      <w:proofErr w:type="spellStart"/>
      <w:r w:rsidRPr="003179F8">
        <w:rPr>
          <w:color w:val="000000"/>
          <w:sz w:val="24"/>
          <w:szCs w:val="24"/>
        </w:rPr>
        <w:t>Limitmodul</w:t>
      </w:r>
      <w:proofErr w:type="spellEnd"/>
      <w:r w:rsidRPr="003179F8">
        <w:rPr>
          <w:color w:val="000000"/>
          <w:sz w:val="24"/>
          <w:szCs w:val="24"/>
        </w:rPr>
        <w:t xml:space="preserve"> von </w:t>
      </w:r>
      <w:proofErr w:type="spellStart"/>
      <w:r w:rsidRPr="003179F8">
        <w:rPr>
          <w:color w:val="000000"/>
          <w:sz w:val="24"/>
          <w:szCs w:val="24"/>
        </w:rPr>
        <w:t>EGon</w:t>
      </w:r>
      <w:proofErr w:type="spellEnd"/>
      <w:r w:rsidRPr="003179F8">
        <w:rPr>
          <w:color w:val="000000"/>
          <w:sz w:val="24"/>
          <w:szCs w:val="24"/>
        </w:rPr>
        <w:t>]</w:t>
      </w:r>
    </w:p>
    <w:p w14:paraId="4A028995" w14:textId="77777777" w:rsidR="00C107B2" w:rsidRPr="003179F8" w:rsidRDefault="00C107B2" w:rsidP="003179F8">
      <w:pPr>
        <w:jc w:val="both"/>
        <w:rPr>
          <w:color w:val="000000"/>
          <w:sz w:val="24"/>
          <w:szCs w:val="24"/>
        </w:rPr>
      </w:pPr>
    </w:p>
    <w:p w14:paraId="76472E86" w14:textId="77777777" w:rsidR="00C756BA" w:rsidRDefault="00C756BA" w:rsidP="00C756BA">
      <w:pPr>
        <w:pStyle w:val="berschrift2"/>
        <w:spacing w:before="0" w:after="100"/>
        <w:jc w:val="both"/>
        <w:rPr>
          <w:rFonts w:eastAsia="Times New Roman"/>
          <w:snapToGrid w:val="0"/>
          <w:sz w:val="24"/>
          <w:szCs w:val="24"/>
          <w:lang w:eastAsia="de-DE"/>
        </w:rPr>
      </w:pPr>
      <w:bookmarkStart w:id="13" w:name="_Toc172294734"/>
      <w:r>
        <w:rPr>
          <w:rFonts w:eastAsia="Times New Roman"/>
          <w:snapToGrid w:val="0"/>
          <w:sz w:val="24"/>
          <w:szCs w:val="24"/>
          <w:lang w:eastAsia="de-DE"/>
        </w:rPr>
        <w:t>Prozessuale Hinweise</w:t>
      </w:r>
      <w:bookmarkEnd w:id="13"/>
    </w:p>
    <w:p w14:paraId="23D0C317" w14:textId="77777777" w:rsidR="00C756BA" w:rsidRPr="003E7AE1" w:rsidRDefault="00C756BA" w:rsidP="00C756BA">
      <w:pPr>
        <w:rPr>
          <w:sz w:val="24"/>
          <w:szCs w:val="24"/>
          <w:lang w:eastAsia="de-DE"/>
        </w:rPr>
      </w:pPr>
      <w:r w:rsidRPr="003E7AE1">
        <w:rPr>
          <w:sz w:val="24"/>
          <w:szCs w:val="24"/>
          <w:lang w:eastAsia="de-DE"/>
        </w:rPr>
        <w:t xml:space="preserve">Zur technischen Abwicklung ist ein Merkdepot anzulegen. Dabei ist die Vermögensart „541“ zu verwenden. </w:t>
      </w:r>
      <w:r>
        <w:rPr>
          <w:sz w:val="24"/>
          <w:szCs w:val="24"/>
          <w:lang w:eastAsia="de-DE"/>
        </w:rPr>
        <w:t>D</w:t>
      </w:r>
      <w:r w:rsidRPr="00E57F8B">
        <w:rPr>
          <w:sz w:val="24"/>
          <w:szCs w:val="24"/>
          <w:lang w:eastAsia="de-DE"/>
        </w:rPr>
        <w:t>er Verkauf der Wertpapiere sowie der Rückkauf per Termin werden am Handelstag über das hinterlegte Merkdepot abgewickelt, in WP2 abgerechnet und mit der Stückeart 923 verbucht</w:t>
      </w:r>
      <w:r>
        <w:rPr>
          <w:sz w:val="24"/>
          <w:szCs w:val="24"/>
          <w:lang w:eastAsia="de-DE"/>
        </w:rPr>
        <w:t>. D</w:t>
      </w:r>
      <w:r w:rsidRPr="00E57F8B">
        <w:rPr>
          <w:sz w:val="24"/>
          <w:szCs w:val="24"/>
          <w:lang w:eastAsia="de-DE"/>
        </w:rPr>
        <w:t xml:space="preserve">as in Pension gegebene Wertpapier </w:t>
      </w:r>
      <w:proofErr w:type="gramStart"/>
      <w:r w:rsidRPr="00E57F8B">
        <w:rPr>
          <w:sz w:val="24"/>
          <w:szCs w:val="24"/>
          <w:lang w:eastAsia="de-DE"/>
        </w:rPr>
        <w:t>wird</w:t>
      </w:r>
      <w:proofErr w:type="gramEnd"/>
      <w:r w:rsidRPr="00E57F8B">
        <w:rPr>
          <w:sz w:val="24"/>
          <w:szCs w:val="24"/>
          <w:lang w:eastAsia="de-DE"/>
        </w:rPr>
        <w:t xml:space="preserve"> während der Repo-Laufzeit i</w:t>
      </w:r>
      <w:r>
        <w:rPr>
          <w:sz w:val="24"/>
          <w:szCs w:val="24"/>
          <w:lang w:eastAsia="de-DE"/>
        </w:rPr>
        <w:t>m</w:t>
      </w:r>
      <w:r w:rsidRPr="00E57F8B">
        <w:rPr>
          <w:sz w:val="24"/>
          <w:szCs w:val="24"/>
          <w:lang w:eastAsia="de-DE"/>
        </w:rPr>
        <w:t xml:space="preserve"> Bestandsdepot mit der Stückeart 933, Sperre 8 und der Sonderheit 377 (erfolgte Übertragung des WP</w:t>
      </w:r>
      <w:r>
        <w:rPr>
          <w:sz w:val="24"/>
          <w:szCs w:val="24"/>
          <w:lang w:eastAsia="de-DE"/>
        </w:rPr>
        <w:t>-</w:t>
      </w:r>
      <w:r w:rsidRPr="00E57F8B">
        <w:rPr>
          <w:sz w:val="24"/>
          <w:szCs w:val="24"/>
          <w:lang w:eastAsia="de-DE"/>
        </w:rPr>
        <w:t>Bestands auf DZ BANK als Pensionsnehmer, bloßer Rückübertragungsanspruch) versehen</w:t>
      </w:r>
      <w:r>
        <w:rPr>
          <w:sz w:val="24"/>
          <w:szCs w:val="24"/>
          <w:lang w:eastAsia="de-DE"/>
        </w:rPr>
        <w:t xml:space="preserve"> (bei </w:t>
      </w:r>
      <w:r w:rsidRPr="00E57F8B">
        <w:rPr>
          <w:bCs/>
          <w:sz w:val="24"/>
          <w:szCs w:val="24"/>
          <w:lang w:eastAsia="de-DE"/>
        </w:rPr>
        <w:t xml:space="preserve">Fragen zur Abwicklung: </w:t>
      </w:r>
      <w:r w:rsidRPr="00E57F8B">
        <w:rPr>
          <w:sz w:val="24"/>
          <w:szCs w:val="24"/>
          <w:lang w:eastAsia="de-DE"/>
        </w:rPr>
        <w:t>repo.bo@dzbank.de</w:t>
      </w:r>
      <w:r>
        <w:rPr>
          <w:sz w:val="24"/>
          <w:szCs w:val="24"/>
          <w:lang w:eastAsia="de-DE"/>
        </w:rPr>
        <w:t>).</w:t>
      </w:r>
    </w:p>
    <w:p w14:paraId="1AD91F4D" w14:textId="77777777" w:rsidR="00C756BA" w:rsidRPr="00967FF0" w:rsidRDefault="00C756BA" w:rsidP="00C756BA">
      <w:pPr>
        <w:rPr>
          <w:i/>
          <w:iCs/>
          <w:sz w:val="24"/>
          <w:szCs w:val="24"/>
          <w:lang w:eastAsia="de-DE"/>
        </w:rPr>
      </w:pPr>
      <w:r w:rsidRPr="00967FF0">
        <w:rPr>
          <w:i/>
          <w:iCs/>
          <w:sz w:val="24"/>
          <w:szCs w:val="24"/>
          <w:lang w:eastAsia="de-DE"/>
        </w:rPr>
        <w:t xml:space="preserve">Da bei der Nutzung des laufenden Kontos die </w:t>
      </w:r>
      <w:proofErr w:type="spellStart"/>
      <w:r w:rsidRPr="00967FF0">
        <w:rPr>
          <w:i/>
          <w:iCs/>
          <w:sz w:val="24"/>
          <w:szCs w:val="24"/>
          <w:lang w:eastAsia="de-DE"/>
        </w:rPr>
        <w:t>Cashbuchungen</w:t>
      </w:r>
      <w:proofErr w:type="spellEnd"/>
      <w:r w:rsidRPr="00967FF0">
        <w:rPr>
          <w:i/>
          <w:iCs/>
          <w:sz w:val="24"/>
          <w:szCs w:val="24"/>
          <w:lang w:eastAsia="de-DE"/>
        </w:rPr>
        <w:t xml:space="preserve"> in WP2 nicht einzeln, sondern in Summe mit anderen Buchungen zusammengefasst werden, kann es von Vorteil sein, hierfür ein separates Verrechnungskonto zu nutzen.</w:t>
      </w:r>
    </w:p>
    <w:p w14:paraId="01654D93" w14:textId="77777777" w:rsidR="007C61FE" w:rsidRPr="003179F8" w:rsidRDefault="007C61FE" w:rsidP="003179F8">
      <w:pPr>
        <w:jc w:val="both"/>
        <w:rPr>
          <w:sz w:val="24"/>
          <w:szCs w:val="24"/>
          <w:lang w:eastAsia="de-DE"/>
        </w:rPr>
      </w:pPr>
    </w:p>
    <w:p w14:paraId="6DD1D1F8" w14:textId="5CF139D9" w:rsidR="00F14614" w:rsidRPr="003179F8" w:rsidRDefault="00F14614" w:rsidP="003179F8">
      <w:pPr>
        <w:pStyle w:val="berschrift2"/>
        <w:spacing w:before="0" w:after="100"/>
        <w:jc w:val="both"/>
        <w:rPr>
          <w:rFonts w:eastAsia="Times New Roman"/>
          <w:snapToGrid w:val="0"/>
          <w:sz w:val="24"/>
          <w:szCs w:val="24"/>
          <w:lang w:eastAsia="de-DE"/>
        </w:rPr>
      </w:pPr>
      <w:bookmarkStart w:id="14" w:name="_Toc172294735"/>
      <w:r w:rsidRPr="003179F8">
        <w:rPr>
          <w:rFonts w:eastAsia="Times New Roman"/>
          <w:snapToGrid w:val="0"/>
          <w:sz w:val="24"/>
          <w:szCs w:val="24"/>
          <w:lang w:eastAsia="de-DE"/>
        </w:rPr>
        <w:t>Kompetenzregelungen</w:t>
      </w:r>
      <w:bookmarkEnd w:id="14"/>
    </w:p>
    <w:p w14:paraId="3C8454D6" w14:textId="77777777" w:rsidR="007C61FE" w:rsidRPr="003179F8" w:rsidRDefault="007C61FE" w:rsidP="003179F8">
      <w:pPr>
        <w:jc w:val="both"/>
        <w:rPr>
          <w:rFonts w:eastAsia="Times New Roman" w:cstheme="minorHAnsi"/>
          <w:snapToGrid w:val="0"/>
          <w:color w:val="auto"/>
          <w:sz w:val="24"/>
          <w:szCs w:val="24"/>
          <w:lang w:eastAsia="de-DE"/>
        </w:rPr>
      </w:pPr>
      <w:r w:rsidRPr="003179F8">
        <w:rPr>
          <w:rFonts w:eastAsia="Times New Roman" w:cstheme="minorHAnsi"/>
          <w:snapToGrid w:val="0"/>
          <w:color w:val="auto"/>
          <w:sz w:val="24"/>
          <w:szCs w:val="24"/>
          <w:lang w:eastAsia="de-DE"/>
        </w:rPr>
        <w:t>Für den Abschluss von Repo-Geschäften gelten folgende Kompetenzregelungen: [Regelungen für Mitarbeiter / Vorstandsmitglieder einfügen.]</w:t>
      </w:r>
    </w:p>
    <w:p w14:paraId="3BB75BE0" w14:textId="77777777" w:rsidR="007C61FE" w:rsidRPr="003179F8" w:rsidRDefault="007C61FE" w:rsidP="003179F8">
      <w:pPr>
        <w:jc w:val="both"/>
        <w:rPr>
          <w:rFonts w:eastAsia="Times New Roman" w:cstheme="minorHAnsi"/>
          <w:snapToGrid w:val="0"/>
          <w:color w:val="auto"/>
          <w:sz w:val="24"/>
          <w:szCs w:val="24"/>
          <w:lang w:eastAsia="de-DE"/>
        </w:rPr>
      </w:pPr>
      <w:r w:rsidRPr="003179F8">
        <w:rPr>
          <w:color w:val="000000"/>
          <w:sz w:val="24"/>
          <w:szCs w:val="24"/>
        </w:rPr>
        <w:t>[Funktionstrennungsaspekte beachten! Zusätzlich sind die institutsindividuellen Kompetenzregelungen zu beachten; ein Verweis hierauf genügt.]</w:t>
      </w:r>
    </w:p>
    <w:p w14:paraId="2D452B0D" w14:textId="77777777" w:rsidR="007C61FE" w:rsidRPr="003179F8" w:rsidRDefault="007C61FE" w:rsidP="003179F8">
      <w:pPr>
        <w:jc w:val="both"/>
        <w:rPr>
          <w:sz w:val="24"/>
          <w:szCs w:val="24"/>
          <w:lang w:eastAsia="de-DE"/>
        </w:rPr>
      </w:pPr>
    </w:p>
    <w:p w14:paraId="25711B45" w14:textId="73E71E79" w:rsidR="00F14614" w:rsidRPr="00F901A6" w:rsidRDefault="00F14614" w:rsidP="003179F8">
      <w:pPr>
        <w:pStyle w:val="berschrift2"/>
        <w:spacing w:before="0" w:after="100"/>
        <w:jc w:val="both"/>
        <w:rPr>
          <w:rFonts w:eastAsia="Times New Roman"/>
          <w:snapToGrid w:val="0"/>
          <w:sz w:val="24"/>
          <w:szCs w:val="24"/>
          <w:lang w:eastAsia="de-DE"/>
        </w:rPr>
      </w:pPr>
      <w:bookmarkStart w:id="15" w:name="_Toc172294736"/>
      <w:r w:rsidRPr="00F901A6">
        <w:rPr>
          <w:rFonts w:eastAsia="Times New Roman"/>
          <w:snapToGrid w:val="0"/>
          <w:sz w:val="24"/>
          <w:szCs w:val="24"/>
          <w:lang w:eastAsia="de-DE"/>
        </w:rPr>
        <w:t>Dokumentation</w:t>
      </w:r>
      <w:bookmarkEnd w:id="15"/>
    </w:p>
    <w:p w14:paraId="59C9C690" w14:textId="62C943E8" w:rsidR="00D57728" w:rsidRDefault="00D57728" w:rsidP="006E2674">
      <w:pPr>
        <w:rPr>
          <w:sz w:val="24"/>
          <w:szCs w:val="24"/>
          <w:lang w:eastAsia="de-DE"/>
        </w:rPr>
      </w:pPr>
      <w:r w:rsidRPr="00F901A6">
        <w:rPr>
          <w:sz w:val="24"/>
          <w:szCs w:val="24"/>
          <w:lang w:eastAsia="de-DE"/>
        </w:rPr>
        <w:t xml:space="preserve">Gem. BVR-Vermerk vom 5. Dezember 2017 </w:t>
      </w:r>
      <w:r w:rsidR="006E2674">
        <w:rPr>
          <w:sz w:val="24"/>
          <w:szCs w:val="24"/>
          <w:lang w:eastAsia="de-DE"/>
        </w:rPr>
        <w:t>(</w:t>
      </w:r>
      <w:r w:rsidR="006E2674" w:rsidRPr="006E2674">
        <w:rPr>
          <w:sz w:val="24"/>
          <w:szCs w:val="24"/>
          <w:lang w:eastAsia="de-DE"/>
        </w:rPr>
        <w:t>MiFID II/</w:t>
      </w:r>
      <w:proofErr w:type="spellStart"/>
      <w:r w:rsidR="006E2674" w:rsidRPr="006E2674">
        <w:rPr>
          <w:sz w:val="24"/>
          <w:szCs w:val="24"/>
          <w:lang w:eastAsia="de-DE"/>
        </w:rPr>
        <w:t>MiFIR</w:t>
      </w:r>
      <w:proofErr w:type="spellEnd"/>
      <w:r w:rsidR="006E2674">
        <w:rPr>
          <w:sz w:val="24"/>
          <w:szCs w:val="24"/>
          <w:lang w:eastAsia="de-DE"/>
        </w:rPr>
        <w:t xml:space="preserve">: </w:t>
      </w:r>
      <w:r w:rsidR="006E2674" w:rsidRPr="006E2674">
        <w:rPr>
          <w:sz w:val="24"/>
          <w:szCs w:val="24"/>
          <w:lang w:eastAsia="de-DE"/>
        </w:rPr>
        <w:t>Der Abschluss von Pensionsgeschäften und/oder „Kauf-/Rückverkaufsgeschäften“ (Buy/Sell-back-Geschäfte) als Wertpapierdienstleistung</w:t>
      </w:r>
      <w:r w:rsidR="006E2674">
        <w:rPr>
          <w:sz w:val="24"/>
          <w:szCs w:val="24"/>
          <w:lang w:eastAsia="de-DE"/>
        </w:rPr>
        <w:t xml:space="preserve">) </w:t>
      </w:r>
      <w:r>
        <w:rPr>
          <w:sz w:val="24"/>
          <w:szCs w:val="24"/>
          <w:lang w:eastAsia="de-DE"/>
        </w:rPr>
        <w:t xml:space="preserve">finden die </w:t>
      </w:r>
      <w:r w:rsidRPr="00D57728">
        <w:rPr>
          <w:sz w:val="24"/>
          <w:szCs w:val="24"/>
          <w:lang w:eastAsia="de-DE"/>
        </w:rPr>
        <w:t>kundenschützenden Vorschriften der MiFID II keine Anwendung</w:t>
      </w:r>
      <w:r w:rsidR="00D0005A">
        <w:rPr>
          <w:sz w:val="24"/>
          <w:szCs w:val="24"/>
          <w:lang w:eastAsia="de-DE"/>
        </w:rPr>
        <w:t xml:space="preserve"> a</w:t>
      </w:r>
      <w:r w:rsidR="00D0005A" w:rsidRPr="00D57728">
        <w:rPr>
          <w:sz w:val="24"/>
          <w:szCs w:val="24"/>
          <w:lang w:eastAsia="de-DE"/>
        </w:rPr>
        <w:t xml:space="preserve">uf </w:t>
      </w:r>
      <w:r w:rsidR="006E2674">
        <w:rPr>
          <w:sz w:val="24"/>
          <w:szCs w:val="24"/>
          <w:lang w:eastAsia="de-DE"/>
        </w:rPr>
        <w:t xml:space="preserve">Pensionsgeschäft, die als </w:t>
      </w:r>
      <w:r w:rsidR="00D0005A" w:rsidRPr="00D57728">
        <w:rPr>
          <w:sz w:val="24"/>
          <w:szCs w:val="24"/>
          <w:lang w:eastAsia="de-DE"/>
        </w:rPr>
        <w:t>Eigengeschäft</w:t>
      </w:r>
      <w:r w:rsidR="00D0005A">
        <w:rPr>
          <w:sz w:val="24"/>
          <w:szCs w:val="24"/>
          <w:lang w:eastAsia="de-DE"/>
        </w:rPr>
        <w:t>e</w:t>
      </w:r>
      <w:r w:rsidR="006E2674">
        <w:rPr>
          <w:sz w:val="24"/>
          <w:szCs w:val="24"/>
          <w:lang w:eastAsia="de-DE"/>
        </w:rPr>
        <w:t xml:space="preserve"> </w:t>
      </w:r>
      <w:r w:rsidR="00D0005A" w:rsidRPr="00CF176C">
        <w:rPr>
          <w:rFonts w:eastAsia="Times New Roman" w:cstheme="minorHAnsi"/>
          <w:snapToGrid w:val="0"/>
          <w:color w:val="auto"/>
          <w:sz w:val="24"/>
          <w:szCs w:val="24"/>
          <w:lang w:eastAsia="de-DE"/>
        </w:rPr>
        <w:t>mit anderen Instituten zur Liquiditätssteuerung</w:t>
      </w:r>
      <w:r w:rsidR="00D0005A">
        <w:rPr>
          <w:rFonts w:eastAsia="Times New Roman" w:cstheme="minorHAnsi"/>
          <w:snapToGrid w:val="0"/>
          <w:color w:val="auto"/>
          <w:sz w:val="24"/>
          <w:szCs w:val="24"/>
          <w:lang w:eastAsia="de-DE"/>
        </w:rPr>
        <w:t xml:space="preserve"> durchgeführt werden</w:t>
      </w:r>
      <w:r w:rsidRPr="00D57728">
        <w:rPr>
          <w:sz w:val="24"/>
          <w:szCs w:val="24"/>
          <w:lang w:eastAsia="de-DE"/>
        </w:rPr>
        <w:t xml:space="preserve">, weil kein Kundenbezug </w:t>
      </w:r>
      <w:proofErr w:type="spellStart"/>
      <w:r w:rsidR="006E2674">
        <w:rPr>
          <w:sz w:val="24"/>
          <w:szCs w:val="24"/>
          <w:lang w:eastAsia="de-DE"/>
        </w:rPr>
        <w:t>i.S.d</w:t>
      </w:r>
      <w:proofErr w:type="spellEnd"/>
      <w:r w:rsidR="006E2674">
        <w:rPr>
          <w:sz w:val="24"/>
          <w:szCs w:val="24"/>
          <w:lang w:eastAsia="de-DE"/>
        </w:rPr>
        <w:t xml:space="preserve">. MiFID II </w:t>
      </w:r>
      <w:r w:rsidRPr="00D57728">
        <w:rPr>
          <w:sz w:val="24"/>
          <w:szCs w:val="24"/>
          <w:lang w:eastAsia="de-DE"/>
        </w:rPr>
        <w:t>vorhanden ist.</w:t>
      </w:r>
      <w:r w:rsidR="00D0005A">
        <w:rPr>
          <w:sz w:val="24"/>
          <w:szCs w:val="24"/>
          <w:lang w:eastAsia="de-DE"/>
        </w:rPr>
        <w:t xml:space="preserve"> Auf die </w:t>
      </w:r>
      <w:r w:rsidR="00D0005A" w:rsidRPr="00D0005A">
        <w:rPr>
          <w:sz w:val="24"/>
          <w:szCs w:val="24"/>
          <w:lang w:eastAsia="de-DE"/>
        </w:rPr>
        <w:t>unterschiedslos für jedes Geschäft gelten</w:t>
      </w:r>
      <w:r w:rsidR="00D0005A">
        <w:rPr>
          <w:sz w:val="24"/>
          <w:szCs w:val="24"/>
          <w:lang w:eastAsia="de-DE"/>
        </w:rPr>
        <w:t>den Vorgaben (</w:t>
      </w:r>
      <w:r w:rsidR="00D0005A" w:rsidRPr="00D0005A">
        <w:rPr>
          <w:sz w:val="24"/>
          <w:szCs w:val="24"/>
          <w:lang w:eastAsia="de-DE"/>
        </w:rPr>
        <w:t>z. B.</w:t>
      </w:r>
      <w:r w:rsidR="00D0005A">
        <w:rPr>
          <w:sz w:val="24"/>
          <w:szCs w:val="24"/>
          <w:lang w:eastAsia="de-DE"/>
        </w:rPr>
        <w:t xml:space="preserve"> </w:t>
      </w:r>
      <w:r w:rsidR="00D0005A" w:rsidRPr="00D0005A">
        <w:rPr>
          <w:sz w:val="24"/>
          <w:szCs w:val="24"/>
          <w:lang w:eastAsia="de-DE"/>
        </w:rPr>
        <w:t>Interessenkonfliktgrundsätze</w:t>
      </w:r>
      <w:r w:rsidR="00D0005A">
        <w:rPr>
          <w:sz w:val="24"/>
          <w:szCs w:val="24"/>
          <w:lang w:eastAsia="de-DE"/>
        </w:rPr>
        <w:t>, Aufzeichnungspflichten</w:t>
      </w:r>
      <w:r w:rsidR="00D0005A" w:rsidRPr="00D0005A">
        <w:rPr>
          <w:sz w:val="24"/>
          <w:szCs w:val="24"/>
          <w:lang w:eastAsia="de-DE"/>
        </w:rPr>
        <w:t xml:space="preserve"> zu Geschäften,</w:t>
      </w:r>
      <w:r w:rsidR="00D0005A">
        <w:rPr>
          <w:sz w:val="24"/>
          <w:szCs w:val="24"/>
          <w:lang w:eastAsia="de-DE"/>
        </w:rPr>
        <w:t xml:space="preserve"> </w:t>
      </w:r>
      <w:r w:rsidR="00D0005A" w:rsidRPr="00D0005A">
        <w:rPr>
          <w:sz w:val="24"/>
          <w:szCs w:val="24"/>
          <w:lang w:eastAsia="de-DE"/>
        </w:rPr>
        <w:t>Pflicht zur Telefonaufzeichnung</w:t>
      </w:r>
      <w:r w:rsidR="00D0005A">
        <w:rPr>
          <w:sz w:val="24"/>
          <w:szCs w:val="24"/>
          <w:lang w:eastAsia="de-DE"/>
        </w:rPr>
        <w:t xml:space="preserve">) wird hingewiesen. </w:t>
      </w:r>
    </w:p>
    <w:p w14:paraId="4A70FB42" w14:textId="50934E1C" w:rsidR="00D0005A" w:rsidRDefault="006E2674" w:rsidP="00394EC2">
      <w:pPr>
        <w:rPr>
          <w:sz w:val="24"/>
          <w:szCs w:val="24"/>
          <w:lang w:eastAsia="de-DE"/>
        </w:rPr>
      </w:pPr>
      <w:r>
        <w:rPr>
          <w:sz w:val="24"/>
          <w:szCs w:val="24"/>
          <w:lang w:eastAsia="de-DE"/>
        </w:rPr>
        <w:lastRenderedPageBreak/>
        <w:t>[Sofern Pensionsgeschäfte mit Kunden durchgeführt werden sollen,</w:t>
      </w:r>
      <w:r w:rsidR="00B151B2">
        <w:rPr>
          <w:sz w:val="24"/>
          <w:szCs w:val="24"/>
          <w:lang w:eastAsia="de-DE"/>
        </w:rPr>
        <w:t xml:space="preserve"> sind gem. BVR-Vermerk </w:t>
      </w:r>
      <w:r w:rsidR="002204A0">
        <w:rPr>
          <w:sz w:val="24"/>
          <w:szCs w:val="24"/>
          <w:lang w:eastAsia="de-DE"/>
        </w:rPr>
        <w:t>sind die</w:t>
      </w:r>
      <w:r w:rsidR="00394EC2" w:rsidRPr="00394EC2">
        <w:rPr>
          <w:sz w:val="24"/>
          <w:szCs w:val="24"/>
          <w:lang w:eastAsia="de-DE"/>
        </w:rPr>
        <w:t xml:space="preserve"> entsprechenden Vorschriften der MiFID II</w:t>
      </w:r>
      <w:r w:rsidR="00B151B2">
        <w:rPr>
          <w:sz w:val="24"/>
          <w:szCs w:val="24"/>
          <w:lang w:eastAsia="de-DE"/>
        </w:rPr>
        <w:t xml:space="preserve"> </w:t>
      </w:r>
      <w:r w:rsidR="00394EC2" w:rsidRPr="00394EC2">
        <w:rPr>
          <w:sz w:val="24"/>
          <w:szCs w:val="24"/>
          <w:lang w:eastAsia="de-DE"/>
        </w:rPr>
        <w:t xml:space="preserve">für Wertpapierdienstleistungen </w:t>
      </w:r>
      <w:r w:rsidR="00B151B2">
        <w:rPr>
          <w:sz w:val="24"/>
          <w:szCs w:val="24"/>
          <w:lang w:eastAsia="de-DE"/>
        </w:rPr>
        <w:t xml:space="preserve">gegenüber Kunden </w:t>
      </w:r>
      <w:r w:rsidR="002204A0">
        <w:rPr>
          <w:sz w:val="24"/>
          <w:szCs w:val="24"/>
          <w:lang w:eastAsia="de-DE"/>
        </w:rPr>
        <w:t>zu beachten</w:t>
      </w:r>
      <w:r w:rsidR="00B151B2">
        <w:rPr>
          <w:sz w:val="24"/>
          <w:szCs w:val="24"/>
          <w:lang w:eastAsia="de-DE"/>
        </w:rPr>
        <w:t xml:space="preserve"> und dementsprechend </w:t>
      </w:r>
      <w:r w:rsidR="008B59E1">
        <w:rPr>
          <w:sz w:val="24"/>
          <w:szCs w:val="24"/>
          <w:lang w:eastAsia="de-DE"/>
        </w:rPr>
        <w:t xml:space="preserve">Auswirkungen und Umsetzung </w:t>
      </w:r>
      <w:r w:rsidR="00B151B2">
        <w:rPr>
          <w:sz w:val="24"/>
          <w:szCs w:val="24"/>
          <w:lang w:eastAsia="de-DE"/>
        </w:rPr>
        <w:t xml:space="preserve">auch im Produkteinführungsprozess zu </w:t>
      </w:r>
      <w:r w:rsidR="008B59E1">
        <w:rPr>
          <w:sz w:val="24"/>
          <w:szCs w:val="24"/>
          <w:lang w:eastAsia="de-DE"/>
        </w:rPr>
        <w:t>berücksichtigen</w:t>
      </w:r>
      <w:r w:rsidR="00394EC2">
        <w:rPr>
          <w:sz w:val="24"/>
          <w:szCs w:val="24"/>
          <w:lang w:eastAsia="de-DE"/>
        </w:rPr>
        <w:t>.]</w:t>
      </w:r>
    </w:p>
    <w:p w14:paraId="3EE6D4EB" w14:textId="77777777" w:rsidR="00E66C65" w:rsidRPr="00F901A6" w:rsidRDefault="00E66C65" w:rsidP="000C2D10">
      <w:pPr>
        <w:rPr>
          <w:sz w:val="24"/>
          <w:szCs w:val="24"/>
          <w:highlight w:val="yellow"/>
          <w:lang w:eastAsia="de-DE"/>
        </w:rPr>
      </w:pPr>
    </w:p>
    <w:p w14:paraId="7F2FE96C" w14:textId="14F1644D" w:rsidR="00F14614" w:rsidRPr="003179F8" w:rsidRDefault="00D74E55" w:rsidP="003179F8">
      <w:pPr>
        <w:pStyle w:val="berschrift1"/>
        <w:spacing w:before="0" w:after="100"/>
        <w:jc w:val="both"/>
        <w:rPr>
          <w:rFonts w:eastAsia="Times New Roman"/>
          <w:snapToGrid w:val="0"/>
          <w:sz w:val="24"/>
          <w:szCs w:val="24"/>
          <w:lang w:eastAsia="de-DE"/>
        </w:rPr>
      </w:pPr>
      <w:bookmarkStart w:id="16" w:name="_Toc172294737"/>
      <w:r>
        <w:rPr>
          <w:rFonts w:eastAsia="Times New Roman"/>
          <w:snapToGrid w:val="0"/>
          <w:sz w:val="24"/>
          <w:szCs w:val="24"/>
          <w:lang w:eastAsia="de-DE"/>
        </w:rPr>
        <w:t xml:space="preserve">Marktfolge / </w:t>
      </w:r>
      <w:r w:rsidR="00F14614" w:rsidRPr="003179F8">
        <w:rPr>
          <w:rFonts w:eastAsia="Times New Roman"/>
          <w:snapToGrid w:val="0"/>
          <w:sz w:val="24"/>
          <w:szCs w:val="24"/>
          <w:lang w:eastAsia="de-DE"/>
        </w:rPr>
        <w:t>Abwicklung und Kontrolle</w:t>
      </w:r>
      <w:bookmarkEnd w:id="16"/>
    </w:p>
    <w:p w14:paraId="6C1ADFC0" w14:textId="42CAA548" w:rsidR="00F14614" w:rsidRPr="003179F8" w:rsidRDefault="00F14614" w:rsidP="003179F8">
      <w:pPr>
        <w:pStyle w:val="berschrift2"/>
        <w:spacing w:before="0" w:after="100"/>
        <w:jc w:val="both"/>
        <w:rPr>
          <w:rFonts w:eastAsia="Times New Roman"/>
          <w:snapToGrid w:val="0"/>
          <w:sz w:val="24"/>
          <w:szCs w:val="24"/>
          <w:lang w:eastAsia="de-DE"/>
        </w:rPr>
      </w:pPr>
      <w:bookmarkStart w:id="17" w:name="_Toc172294738"/>
      <w:r w:rsidRPr="003179F8">
        <w:rPr>
          <w:rFonts w:eastAsia="Times New Roman"/>
          <w:snapToGrid w:val="0"/>
          <w:sz w:val="24"/>
          <w:szCs w:val="24"/>
          <w:lang w:eastAsia="de-DE"/>
        </w:rPr>
        <w:t>Zuständige Personen / Kompetenzen</w:t>
      </w:r>
      <w:bookmarkEnd w:id="17"/>
    </w:p>
    <w:p w14:paraId="1B8BFBF6" w14:textId="77777777" w:rsidR="007C61FE" w:rsidRPr="003179F8" w:rsidRDefault="007C61FE" w:rsidP="003179F8">
      <w:pPr>
        <w:jc w:val="both"/>
        <w:rPr>
          <w:rFonts w:cstheme="minorHAnsi"/>
          <w:color w:val="000000"/>
          <w:sz w:val="24"/>
          <w:szCs w:val="24"/>
        </w:rPr>
      </w:pPr>
      <w:r w:rsidRPr="003179F8">
        <w:rPr>
          <w:rFonts w:cstheme="minorHAnsi"/>
          <w:color w:val="000000"/>
          <w:sz w:val="24"/>
          <w:szCs w:val="24"/>
        </w:rPr>
        <w:t>Die Einhaltung der unter 2.4 definierten Kompetenzregelungen ist – entsprechend der dokumentierten Ordnung – zeitnah nach bei Geschäftsabschluss zu kontrollieren</w:t>
      </w:r>
    </w:p>
    <w:p w14:paraId="73338BED" w14:textId="77777777" w:rsidR="007C61FE" w:rsidRPr="003179F8" w:rsidRDefault="007C61FE" w:rsidP="003179F8">
      <w:pPr>
        <w:jc w:val="both"/>
        <w:rPr>
          <w:sz w:val="24"/>
          <w:szCs w:val="24"/>
          <w:lang w:eastAsia="de-DE"/>
        </w:rPr>
      </w:pPr>
    </w:p>
    <w:p w14:paraId="5E06AAFB" w14:textId="013B79C1" w:rsidR="00F14614" w:rsidRPr="003179F8" w:rsidRDefault="00F14614" w:rsidP="003179F8">
      <w:pPr>
        <w:pStyle w:val="berschrift2"/>
        <w:spacing w:before="0" w:after="100"/>
        <w:jc w:val="both"/>
        <w:rPr>
          <w:rFonts w:eastAsia="Times New Roman"/>
          <w:snapToGrid w:val="0"/>
          <w:sz w:val="24"/>
          <w:szCs w:val="24"/>
          <w:lang w:eastAsia="de-DE"/>
        </w:rPr>
      </w:pPr>
      <w:bookmarkStart w:id="18" w:name="_Toc172294739"/>
      <w:r w:rsidRPr="003179F8">
        <w:rPr>
          <w:rFonts w:eastAsia="Times New Roman"/>
          <w:snapToGrid w:val="0"/>
          <w:sz w:val="24"/>
          <w:szCs w:val="24"/>
          <w:lang w:eastAsia="de-DE"/>
        </w:rPr>
        <w:t>Erforderliche Unterlagen / Kontrollen</w:t>
      </w:r>
      <w:bookmarkEnd w:id="18"/>
    </w:p>
    <w:p w14:paraId="54D4B507" w14:textId="77777777" w:rsidR="007C61FE" w:rsidRPr="003179F8" w:rsidRDefault="007C61FE" w:rsidP="003179F8">
      <w:pPr>
        <w:jc w:val="both"/>
        <w:rPr>
          <w:color w:val="000000"/>
          <w:sz w:val="24"/>
          <w:szCs w:val="24"/>
        </w:rPr>
      </w:pPr>
      <w:r w:rsidRPr="003179F8">
        <w:rPr>
          <w:color w:val="000000"/>
          <w:sz w:val="24"/>
          <w:szCs w:val="24"/>
        </w:rPr>
        <w:t xml:space="preserve">Es ist (einmalig) zu überprüfen, ob alle für das </w:t>
      </w:r>
      <w:proofErr w:type="spellStart"/>
      <w:r w:rsidRPr="003179F8">
        <w:rPr>
          <w:color w:val="000000"/>
          <w:sz w:val="24"/>
          <w:szCs w:val="24"/>
        </w:rPr>
        <w:t>Repogeschäft</w:t>
      </w:r>
      <w:proofErr w:type="spellEnd"/>
      <w:r w:rsidRPr="003179F8">
        <w:rPr>
          <w:color w:val="000000"/>
          <w:sz w:val="24"/>
          <w:szCs w:val="24"/>
        </w:rPr>
        <w:t xml:space="preserve"> relevanten Verträge mit der DZ BANK abgeschlossen worden sind. Hierbei handelt es sich insbesondere um die folgen-den vertraglichen Regelungen:</w:t>
      </w:r>
    </w:p>
    <w:p w14:paraId="7F31B757" w14:textId="77777777" w:rsidR="007C61FE" w:rsidRPr="003179F8" w:rsidRDefault="007C61FE" w:rsidP="003179F8">
      <w:pPr>
        <w:jc w:val="both"/>
        <w:rPr>
          <w:rFonts w:eastAsia="Times New Roman" w:cstheme="minorHAnsi"/>
          <w:snapToGrid w:val="0"/>
          <w:color w:val="auto"/>
          <w:sz w:val="24"/>
          <w:szCs w:val="24"/>
          <w:lang w:eastAsia="de-DE"/>
        </w:rPr>
      </w:pPr>
      <w:r w:rsidRPr="003179F8">
        <w:rPr>
          <w:color w:val="000000"/>
          <w:sz w:val="24"/>
          <w:szCs w:val="24"/>
        </w:rPr>
        <w:t xml:space="preserve">- </w:t>
      </w:r>
      <w:r w:rsidRPr="003179F8">
        <w:rPr>
          <w:rFonts w:eastAsia="Times New Roman" w:cstheme="minorHAnsi"/>
          <w:snapToGrid w:val="0"/>
          <w:color w:val="auto"/>
          <w:sz w:val="24"/>
          <w:szCs w:val="24"/>
          <w:lang w:eastAsia="de-DE"/>
        </w:rPr>
        <w:t>Rahmenvertrag für Wertpapierpensionsgeschäfte (Repos)</w:t>
      </w:r>
    </w:p>
    <w:p w14:paraId="315370BA" w14:textId="77777777" w:rsidR="007C61FE" w:rsidRPr="003179F8" w:rsidRDefault="007C61FE" w:rsidP="003179F8">
      <w:pPr>
        <w:jc w:val="both"/>
        <w:rPr>
          <w:color w:val="000000"/>
          <w:sz w:val="24"/>
          <w:szCs w:val="24"/>
        </w:rPr>
      </w:pPr>
      <w:r w:rsidRPr="003179F8">
        <w:rPr>
          <w:rFonts w:eastAsia="Times New Roman" w:cstheme="minorHAnsi"/>
          <w:snapToGrid w:val="0"/>
          <w:color w:val="auto"/>
          <w:sz w:val="24"/>
          <w:szCs w:val="24"/>
          <w:lang w:eastAsia="de-DE"/>
        </w:rPr>
        <w:t>- Vereinbarung über die Delegation der Durchführung der Meldungen nach Artikel 4 SFTR</w:t>
      </w:r>
    </w:p>
    <w:p w14:paraId="61BA9E7A" w14:textId="77777777" w:rsidR="007C61FE" w:rsidRPr="003179F8" w:rsidRDefault="007C61FE" w:rsidP="003179F8">
      <w:pPr>
        <w:jc w:val="both"/>
        <w:rPr>
          <w:sz w:val="24"/>
          <w:szCs w:val="24"/>
          <w:lang w:eastAsia="de-DE"/>
        </w:rPr>
      </w:pPr>
    </w:p>
    <w:p w14:paraId="40DA3E1E" w14:textId="704F7E76" w:rsidR="00F14614" w:rsidRPr="003179F8" w:rsidRDefault="00F14614" w:rsidP="003179F8">
      <w:pPr>
        <w:pStyle w:val="berschrift2"/>
        <w:spacing w:before="0" w:after="100"/>
        <w:jc w:val="both"/>
        <w:rPr>
          <w:rFonts w:eastAsia="Times New Roman"/>
          <w:snapToGrid w:val="0"/>
          <w:sz w:val="24"/>
          <w:szCs w:val="24"/>
          <w:lang w:eastAsia="de-DE"/>
        </w:rPr>
      </w:pPr>
      <w:bookmarkStart w:id="19" w:name="_Toc172294740"/>
      <w:r w:rsidRPr="003179F8">
        <w:rPr>
          <w:rFonts w:eastAsia="Times New Roman"/>
          <w:snapToGrid w:val="0"/>
          <w:sz w:val="24"/>
          <w:szCs w:val="24"/>
          <w:lang w:eastAsia="de-DE"/>
        </w:rPr>
        <w:t>Marktgerechtigkeitskontrolle</w:t>
      </w:r>
      <w:bookmarkEnd w:id="19"/>
    </w:p>
    <w:p w14:paraId="592E8425"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Bei der Marktgerechtigkeitskontrolle i.S. der MaRisk geht es darum, die Bank vor betrügerischen Handlungen der eigenen Mitarbeiter zu schützen.</w:t>
      </w:r>
    </w:p>
    <w:p w14:paraId="68907766"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Alternative 1:</w:t>
      </w:r>
    </w:p>
    <w:p w14:paraId="09417CD8"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Die Funktion Abwicklung und Kontrolle prüft nach BTO 2.2.2 der MaRisk anhand der Angaben des Händlerzettels die Geschäfte zeitnah. Der Marktdatennachweis (Ausdruck/ Beschaffung der relevanten Marktinformationen bspw. aus GIS, VR-</w:t>
      </w:r>
      <w:proofErr w:type="spellStart"/>
      <w:r w:rsidRPr="003179F8">
        <w:rPr>
          <w:rFonts w:ascii="Frutiger 45 Light" w:hAnsi="Frutiger 45 Light" w:cstheme="minorHAnsi"/>
          <w:color w:val="000000"/>
        </w:rPr>
        <w:t>BankenPortal</w:t>
      </w:r>
      <w:proofErr w:type="spellEnd"/>
      <w:r w:rsidRPr="003179F8">
        <w:rPr>
          <w:rFonts w:ascii="Frutiger 45 Light" w:hAnsi="Frutiger 45 Light" w:cstheme="minorHAnsi"/>
          <w:color w:val="000000"/>
        </w:rPr>
        <w:t xml:space="preserve"> etc.) ist innerhalb einer Zeitspanne von XX Minuten (institutsspezifisch festzulegen; Empfehlung 15-30 Minuten, immer in Abhängigkeit von der Volatilität des relevanten Marktes, je volatiler desto kürzer der Abstand zw. Handelszeit und Marktdatenbeschaffung) durchzuführen, während die Kontrolle spätestens an dem auf den Handelstag folgenden Werktag zu erfolgen hat.</w:t>
      </w:r>
    </w:p>
    <w:p w14:paraId="305F1674" w14:textId="77777777" w:rsidR="007C61FE" w:rsidRPr="009A1C23" w:rsidRDefault="007C61FE" w:rsidP="009A1C23">
      <w:pPr>
        <w:pStyle w:val="StandardWeb"/>
        <w:spacing w:before="0" w:beforeAutospacing="0" w:afterAutospacing="0"/>
        <w:jc w:val="both"/>
        <w:rPr>
          <w:rFonts w:ascii="Frutiger 45 Light" w:hAnsi="Frutiger 45 Light" w:cstheme="minorBidi"/>
          <w:color w:val="000000" w:themeColor="text1"/>
        </w:rPr>
      </w:pPr>
      <w:r w:rsidRPr="00FF43CC">
        <w:rPr>
          <w:rFonts w:ascii="Frutiger 45 Light" w:hAnsi="Frutiger 45 Light" w:cstheme="minorBidi"/>
          <w:color w:val="000000"/>
        </w:rPr>
        <w:t>(Verfügen Abwicklung und Kontrolle nicht über einen eigenen Zugang zu Marktinformations-systemen, hat der Händler die zum Zeitpunkt des Geschäftsabschlusses gültigen Marktparameter in Form eines Bildschirm-Ausdrucks mit Uhrzeit an die Marktfolge weiterzuleiten.)</w:t>
      </w:r>
    </w:p>
    <w:p w14:paraId="4AED2B85" w14:textId="0113FACA" w:rsidR="007C61FE" w:rsidRPr="009A1C23" w:rsidRDefault="007C61FE" w:rsidP="009A1C23">
      <w:pPr>
        <w:pStyle w:val="StandardWeb"/>
        <w:spacing w:before="0" w:beforeAutospacing="0" w:afterAutospacing="0"/>
        <w:jc w:val="both"/>
        <w:rPr>
          <w:rFonts w:ascii="Frutiger 45 Light" w:hAnsi="Frutiger 45 Light" w:cstheme="minorBidi"/>
          <w:color w:val="000000"/>
        </w:rPr>
      </w:pPr>
      <w:r w:rsidRPr="00FF43CC">
        <w:rPr>
          <w:rFonts w:ascii="Frutiger 45 Light" w:hAnsi="Frutiger 45 Light" w:cstheme="minorBidi"/>
          <w:color w:val="000000"/>
        </w:rPr>
        <w:t xml:space="preserve">Die Unternehmensleitung legt Bandbreiten für jede Produktart, innerhalb derer ein Geschäft bei normaler Marktverfassung als marktgerecht zu bezeichnen ist, fest (siehe auch gemeinsames Rundschreiben Verbände und DZ BANK zur </w:t>
      </w:r>
      <w:proofErr w:type="spellStart"/>
      <w:r w:rsidRPr="00FF43CC">
        <w:rPr>
          <w:rFonts w:ascii="Frutiger 45 Light" w:hAnsi="Frutiger 45 Light" w:cstheme="minorBidi"/>
          <w:color w:val="000000"/>
        </w:rPr>
        <w:t>Marktgerechtig</w:t>
      </w:r>
      <w:r w:rsidR="41ED3B3B" w:rsidRPr="00FF43CC">
        <w:rPr>
          <w:rFonts w:ascii="Frutiger 45 Light" w:hAnsi="Frutiger 45 Light" w:cstheme="minorBidi"/>
          <w:color w:val="000000"/>
        </w:rPr>
        <w:t>-</w:t>
      </w:r>
      <w:r w:rsidRPr="00FF43CC">
        <w:rPr>
          <w:rFonts w:ascii="Frutiger 45 Light" w:hAnsi="Frutiger 45 Light" w:cstheme="minorBidi"/>
          <w:color w:val="000000"/>
        </w:rPr>
        <w:t>keitskontrolle</w:t>
      </w:r>
      <w:proofErr w:type="spellEnd"/>
      <w:r w:rsidRPr="00FF43CC">
        <w:rPr>
          <w:rFonts w:ascii="Frutiger 45 Light" w:hAnsi="Frutiger 45 Light" w:cstheme="minorBidi"/>
          <w:color w:val="000000"/>
        </w:rPr>
        <w:t>.)</w:t>
      </w:r>
    </w:p>
    <w:p w14:paraId="07AB5CD2"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Bei Abweichungen von diesem Toleranzbereich ist von dem Mitarbeiter, der das Geschäft getätigt hat, eine schriftliche Stellungnahme einzuholen. Ist diese schlüssig, wird das Geschäft als marktgerecht eingestuft. Ansonsten erfolgt eine entsprechende schriftliche Mitteilung an den Überwachungsvorstand.</w:t>
      </w:r>
    </w:p>
    <w:p w14:paraId="54148D0D"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Alternative 2:</w:t>
      </w:r>
    </w:p>
    <w:p w14:paraId="3373FE5F" w14:textId="77777777" w:rsidR="007C61FE" w:rsidRPr="003179F8" w:rsidRDefault="007C61FE"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lastRenderedPageBreak/>
        <w:t>Die Kontrolle der Marktgerechtigkeit nach MaRisk wurde an die DZ BANK AG ausgelagert und erfolgt über das von der BaFin abgenommene Angebot „Marktgerechtigkeitskontrolle-online“.</w:t>
      </w:r>
    </w:p>
    <w:p w14:paraId="34B358F9" w14:textId="77777777" w:rsidR="007C61FE" w:rsidRPr="003179F8" w:rsidRDefault="007C61FE" w:rsidP="003179F8">
      <w:pPr>
        <w:jc w:val="both"/>
        <w:rPr>
          <w:sz w:val="24"/>
          <w:szCs w:val="24"/>
          <w:lang w:eastAsia="de-DE"/>
        </w:rPr>
      </w:pPr>
    </w:p>
    <w:p w14:paraId="74879E4A" w14:textId="77777777" w:rsidR="00A36E84" w:rsidRDefault="00A36E84" w:rsidP="003179F8">
      <w:pPr>
        <w:pStyle w:val="berschrift2"/>
        <w:spacing w:before="0" w:after="100"/>
        <w:jc w:val="both"/>
        <w:rPr>
          <w:rFonts w:eastAsia="Times New Roman"/>
          <w:snapToGrid w:val="0"/>
          <w:sz w:val="24"/>
          <w:szCs w:val="24"/>
          <w:lang w:eastAsia="de-DE"/>
        </w:rPr>
      </w:pPr>
      <w:bookmarkStart w:id="20" w:name="_Toc172294741"/>
      <w:r>
        <w:rPr>
          <w:rFonts w:eastAsia="Times New Roman"/>
          <w:snapToGrid w:val="0"/>
          <w:sz w:val="24"/>
          <w:szCs w:val="24"/>
          <w:lang w:eastAsia="de-DE"/>
        </w:rPr>
        <w:t>Weitere Anforderungen</w:t>
      </w:r>
      <w:bookmarkEnd w:id="20"/>
    </w:p>
    <w:p w14:paraId="10B563B1" w14:textId="77777777" w:rsidR="00A36E84" w:rsidRPr="00103181" w:rsidRDefault="00A36E84" w:rsidP="00A36E84">
      <w:pPr>
        <w:pStyle w:val="berschrift3"/>
        <w:rPr>
          <w:rFonts w:eastAsia="Times New Roman"/>
          <w:snapToGrid w:val="0"/>
          <w:sz w:val="24"/>
          <w:szCs w:val="24"/>
          <w:lang w:eastAsia="de-DE"/>
        </w:rPr>
      </w:pPr>
      <w:bookmarkStart w:id="21" w:name="_Toc172294742"/>
      <w:r w:rsidRPr="00103181">
        <w:rPr>
          <w:rFonts w:eastAsia="Times New Roman"/>
          <w:snapToGrid w:val="0"/>
          <w:sz w:val="24"/>
          <w:szCs w:val="24"/>
          <w:lang w:eastAsia="de-DE"/>
        </w:rPr>
        <w:t>EMIR</w:t>
      </w:r>
      <w:bookmarkEnd w:id="21"/>
    </w:p>
    <w:p w14:paraId="0E627FD1" w14:textId="667BE4BF" w:rsidR="00A36E84" w:rsidRPr="00103181" w:rsidRDefault="00536B0E" w:rsidP="009A1C23">
      <w:pPr>
        <w:rPr>
          <w:sz w:val="24"/>
          <w:szCs w:val="24"/>
          <w:lang w:eastAsia="de-DE"/>
        </w:rPr>
      </w:pPr>
      <w:r w:rsidRPr="00103181">
        <w:rPr>
          <w:sz w:val="24"/>
          <w:szCs w:val="24"/>
          <w:lang w:eastAsia="de-DE"/>
        </w:rPr>
        <w:t>nicht relevant</w:t>
      </w:r>
    </w:p>
    <w:p w14:paraId="2BD82F54" w14:textId="77777777" w:rsidR="00A36E84" w:rsidRPr="00103181" w:rsidRDefault="00A36E84" w:rsidP="00A36E84">
      <w:pPr>
        <w:pStyle w:val="berschrift3"/>
        <w:rPr>
          <w:rFonts w:eastAsia="Times New Roman"/>
          <w:snapToGrid w:val="0"/>
          <w:sz w:val="24"/>
          <w:szCs w:val="24"/>
          <w:lang w:eastAsia="de-DE"/>
        </w:rPr>
      </w:pPr>
      <w:bookmarkStart w:id="22" w:name="_Toc172294743"/>
      <w:r w:rsidRPr="00103181">
        <w:rPr>
          <w:rFonts w:eastAsia="Times New Roman"/>
          <w:snapToGrid w:val="0"/>
          <w:sz w:val="24"/>
          <w:szCs w:val="24"/>
          <w:lang w:eastAsia="de-DE"/>
        </w:rPr>
        <w:t>SFTR</w:t>
      </w:r>
      <w:bookmarkEnd w:id="22"/>
    </w:p>
    <w:p w14:paraId="1F9C63BD" w14:textId="77777777" w:rsidR="00A36E84" w:rsidRPr="00103181" w:rsidRDefault="00A36E84" w:rsidP="009A1C23">
      <w:pPr>
        <w:pStyle w:val="StandardWeb"/>
        <w:spacing w:before="0" w:beforeAutospacing="0" w:afterAutospacing="0"/>
        <w:jc w:val="both"/>
        <w:rPr>
          <w:rFonts w:ascii="Frutiger 45 Light" w:hAnsi="Frutiger 45 Light" w:cstheme="minorBidi"/>
          <w:color w:val="000000"/>
        </w:rPr>
      </w:pPr>
      <w:r w:rsidRPr="00103181">
        <w:rPr>
          <w:rFonts w:ascii="Frutiger 45 Light" w:hAnsi="Frutiger 45 Light" w:cstheme="minorBidi"/>
          <w:color w:val="000000"/>
        </w:rPr>
        <w:t xml:space="preserve">Mit Delegation der Meldung übernimmt die DZ BANK alle weiteren Anforderungen der SFTR-Meldung. </w:t>
      </w:r>
    </w:p>
    <w:p w14:paraId="4DAB024E" w14:textId="77777777" w:rsidR="00A36E84" w:rsidRPr="00103181" w:rsidRDefault="00A36E84" w:rsidP="009A1C23">
      <w:pPr>
        <w:pStyle w:val="StandardWeb"/>
        <w:spacing w:before="0" w:beforeAutospacing="0" w:afterAutospacing="0"/>
        <w:jc w:val="both"/>
        <w:rPr>
          <w:rFonts w:ascii="Frutiger 45 Light" w:hAnsi="Frutiger 45 Light"/>
        </w:rPr>
      </w:pPr>
      <w:r w:rsidRPr="00103181">
        <w:rPr>
          <w:rFonts w:ascii="Frutiger 45 Light" w:hAnsi="Frutiger 45 Light" w:cstheme="minorBidi"/>
          <w:color w:val="000000"/>
        </w:rPr>
        <w:t>Nach gegenwärtiger Auffassung der BaFin liegt bei der Delegation der Meldung an die direkte Gegenpartei (z.B. Geschäft zwischen Volksbank Raiffeisenbank und DZ BANK AG) keine Auslagerung vor.</w:t>
      </w:r>
      <w:r w:rsidRPr="00103181">
        <w:rPr>
          <w:rFonts w:ascii="Frutiger 45 Light" w:hAnsi="Frutiger 45 Light"/>
        </w:rPr>
        <w:t xml:space="preserve"> </w:t>
      </w:r>
    </w:p>
    <w:p w14:paraId="34845077" w14:textId="77777777" w:rsidR="00A36E84" w:rsidRPr="00103181" w:rsidRDefault="00A36E84" w:rsidP="009A1C23">
      <w:pPr>
        <w:pStyle w:val="StandardWeb"/>
        <w:spacing w:before="0" w:beforeAutospacing="0" w:afterAutospacing="0"/>
        <w:jc w:val="both"/>
        <w:rPr>
          <w:rFonts w:ascii="Frutiger 45 Light" w:hAnsi="Frutiger 45 Light" w:cstheme="minorBidi"/>
          <w:color w:val="000000"/>
        </w:rPr>
      </w:pPr>
      <w:r w:rsidRPr="00103181">
        <w:rPr>
          <w:rFonts w:ascii="Frutiger 45 Light" w:hAnsi="Frutiger 45 Light" w:cstheme="minorBidi"/>
          <w:color w:val="000000"/>
        </w:rPr>
        <w:t>Für evtl. Rückfragen steht als Ansprechpartner seitens der DZ BANK das Expertenteam SFTR-Meldung zur Verfügung:</w:t>
      </w:r>
    </w:p>
    <w:p w14:paraId="4DBD218D" w14:textId="0FB709C5" w:rsidR="00A36E84" w:rsidRPr="00103181" w:rsidRDefault="00A36E84" w:rsidP="00A36E84">
      <w:pPr>
        <w:pStyle w:val="StandardWeb"/>
        <w:spacing w:before="0" w:beforeAutospacing="0" w:afterAutospacing="0"/>
        <w:jc w:val="both"/>
        <w:rPr>
          <w:rFonts w:ascii="Frutiger 45 Light" w:hAnsi="Frutiger 45 Light" w:cstheme="minorHAnsi"/>
          <w:color w:val="000000"/>
        </w:rPr>
      </w:pPr>
      <w:r w:rsidRPr="00103181">
        <w:rPr>
          <w:rFonts w:ascii="Frutiger 45 Light" w:hAnsi="Frutiger 45 Light" w:cstheme="minorBidi"/>
          <w:color w:val="000000"/>
        </w:rPr>
        <w:t>Mail:</w:t>
      </w:r>
      <w:r w:rsidRPr="00103181">
        <w:rPr>
          <w:rFonts w:ascii="Frutiger 45 Light" w:hAnsi="Frutiger 45 Light" w:cstheme="minorHAnsi"/>
          <w:color w:val="000000"/>
        </w:rPr>
        <w:tab/>
      </w:r>
      <w:hyperlink r:id="rId14" w:history="1">
        <w:r w:rsidRPr="00103181">
          <w:rPr>
            <w:rStyle w:val="Hyperlink"/>
            <w:rFonts w:ascii="Frutiger 45 Light" w:hAnsi="Frutiger 45 Light" w:cstheme="minorHAnsi"/>
          </w:rPr>
          <w:t>SFTR-Meldung@dzbank.de</w:t>
        </w:r>
      </w:hyperlink>
    </w:p>
    <w:p w14:paraId="28531314" w14:textId="38FE1013" w:rsidR="00A36E84" w:rsidRPr="00103181" w:rsidRDefault="00A36E84" w:rsidP="00D74E55">
      <w:pPr>
        <w:pStyle w:val="berschrift3"/>
        <w:rPr>
          <w:rFonts w:eastAsia="Times New Roman"/>
          <w:snapToGrid w:val="0"/>
          <w:sz w:val="24"/>
          <w:szCs w:val="24"/>
          <w:lang w:eastAsia="de-DE"/>
        </w:rPr>
      </w:pPr>
      <w:bookmarkStart w:id="23" w:name="_Toc172294744"/>
      <w:r w:rsidRPr="00103181">
        <w:rPr>
          <w:rFonts w:eastAsia="Times New Roman"/>
          <w:snapToGrid w:val="0"/>
          <w:sz w:val="24"/>
          <w:szCs w:val="24"/>
          <w:lang w:eastAsia="de-DE"/>
        </w:rPr>
        <w:t>Sonstige Anforderungen</w:t>
      </w:r>
      <w:bookmarkEnd w:id="23"/>
    </w:p>
    <w:p w14:paraId="6DCCF306" w14:textId="27EFDA3D" w:rsidR="00C107B2" w:rsidRPr="00103181" w:rsidRDefault="00C107B2" w:rsidP="00C107B2">
      <w:pPr>
        <w:rPr>
          <w:sz w:val="24"/>
          <w:szCs w:val="24"/>
          <w:lang w:eastAsia="de-DE"/>
        </w:rPr>
      </w:pPr>
      <w:r w:rsidRPr="00103181">
        <w:rPr>
          <w:sz w:val="24"/>
          <w:szCs w:val="24"/>
          <w:lang w:eastAsia="de-DE"/>
        </w:rPr>
        <w:t>Es bestehen keine weiteren, sonstigen Anforderungen.</w:t>
      </w:r>
    </w:p>
    <w:p w14:paraId="167049C6" w14:textId="77777777" w:rsidR="00C107B2" w:rsidRPr="00C107B2" w:rsidRDefault="00C107B2" w:rsidP="00C107B2">
      <w:pPr>
        <w:rPr>
          <w:lang w:eastAsia="de-DE"/>
        </w:rPr>
      </w:pPr>
    </w:p>
    <w:p w14:paraId="5F83955D" w14:textId="45300008" w:rsidR="00E57F8B" w:rsidRDefault="00A36E84" w:rsidP="00A36E84">
      <w:pPr>
        <w:pStyle w:val="berschrift2"/>
        <w:rPr>
          <w:lang w:eastAsia="de-DE"/>
        </w:rPr>
      </w:pPr>
      <w:bookmarkStart w:id="24" w:name="_Toc172294745"/>
      <w:r>
        <w:rPr>
          <w:lang w:eastAsia="de-DE"/>
        </w:rPr>
        <w:t>Marktfolge</w:t>
      </w:r>
      <w:bookmarkEnd w:id="24"/>
    </w:p>
    <w:p w14:paraId="454DCCBF" w14:textId="3DB6959C" w:rsidR="00A36E84" w:rsidRPr="00D16CDA" w:rsidRDefault="00536B0E">
      <w:pPr>
        <w:rPr>
          <w:sz w:val="24"/>
          <w:szCs w:val="24"/>
          <w:lang w:eastAsia="de-DE"/>
        </w:rPr>
      </w:pPr>
      <w:r w:rsidRPr="00D16CDA">
        <w:rPr>
          <w:sz w:val="24"/>
          <w:szCs w:val="24"/>
          <w:lang w:eastAsia="de-DE"/>
        </w:rPr>
        <w:t xml:space="preserve">Passiv: Die Anlage der Verbindlichkeit aus dem </w:t>
      </w:r>
      <w:proofErr w:type="spellStart"/>
      <w:r w:rsidRPr="00D16CDA">
        <w:rPr>
          <w:sz w:val="24"/>
          <w:szCs w:val="24"/>
          <w:lang w:eastAsia="de-DE"/>
        </w:rPr>
        <w:t>Repogeschäft</w:t>
      </w:r>
      <w:proofErr w:type="spellEnd"/>
      <w:r w:rsidRPr="00D16CDA">
        <w:rPr>
          <w:sz w:val="24"/>
          <w:szCs w:val="24"/>
          <w:lang w:eastAsia="de-DE"/>
        </w:rPr>
        <w:t xml:space="preserve"> erfolgt mit Statistikschlüssel 414 sowie GAB153.</w:t>
      </w:r>
    </w:p>
    <w:p w14:paraId="6542F8BD" w14:textId="4BA3662E" w:rsidR="00536B0E" w:rsidRPr="00D16CDA" w:rsidRDefault="00536B0E">
      <w:pPr>
        <w:rPr>
          <w:sz w:val="24"/>
          <w:szCs w:val="24"/>
          <w:lang w:eastAsia="de-DE"/>
        </w:rPr>
      </w:pPr>
      <w:r w:rsidRPr="00D16CDA">
        <w:rPr>
          <w:sz w:val="24"/>
          <w:szCs w:val="24"/>
          <w:lang w:eastAsia="de-DE"/>
        </w:rPr>
        <w:t xml:space="preserve">Aktiv: Aus dem </w:t>
      </w:r>
      <w:proofErr w:type="spellStart"/>
      <w:r w:rsidRPr="00D16CDA">
        <w:rPr>
          <w:sz w:val="24"/>
          <w:szCs w:val="24"/>
          <w:lang w:eastAsia="de-DE"/>
        </w:rPr>
        <w:t>Repogeschäft</w:t>
      </w:r>
      <w:proofErr w:type="spellEnd"/>
      <w:r w:rsidRPr="00D16CDA">
        <w:rPr>
          <w:sz w:val="24"/>
          <w:szCs w:val="24"/>
          <w:lang w:eastAsia="de-DE"/>
        </w:rPr>
        <w:t xml:space="preserve"> entsteht durch die Übertragung der Wertpapier-Sicherheiten an die DZ BANK ein außerbilanzielles Kreditrisiko (</w:t>
      </w:r>
      <w:proofErr w:type="spellStart"/>
      <w:r w:rsidRPr="00D16CDA">
        <w:rPr>
          <w:sz w:val="24"/>
          <w:szCs w:val="24"/>
          <w:lang w:eastAsia="de-DE"/>
        </w:rPr>
        <w:t>Kontrahentenrisiko</w:t>
      </w:r>
      <w:proofErr w:type="spellEnd"/>
      <w:r w:rsidRPr="00D16CDA">
        <w:rPr>
          <w:sz w:val="24"/>
          <w:szCs w:val="24"/>
          <w:lang w:eastAsia="de-DE"/>
        </w:rPr>
        <w:t xml:space="preserve">) </w:t>
      </w:r>
      <w:proofErr w:type="spellStart"/>
      <w:r w:rsidRPr="00D16CDA">
        <w:rPr>
          <w:sz w:val="24"/>
          <w:szCs w:val="24"/>
          <w:lang w:eastAsia="de-DE"/>
        </w:rPr>
        <w:t>ggü</w:t>
      </w:r>
      <w:proofErr w:type="spellEnd"/>
      <w:r w:rsidRPr="00D16CDA">
        <w:rPr>
          <w:sz w:val="24"/>
          <w:szCs w:val="24"/>
          <w:lang w:eastAsia="de-DE"/>
        </w:rPr>
        <w:t>. der DZ BANK.</w:t>
      </w:r>
    </w:p>
    <w:p w14:paraId="0DFCC981" w14:textId="77777777" w:rsidR="00536B0E" w:rsidRPr="00D16CDA" w:rsidRDefault="00536B0E" w:rsidP="009A1C23">
      <w:pPr>
        <w:rPr>
          <w:sz w:val="24"/>
          <w:szCs w:val="24"/>
          <w:lang w:eastAsia="de-DE"/>
        </w:rPr>
      </w:pPr>
    </w:p>
    <w:p w14:paraId="5172E126" w14:textId="7F71F4B5" w:rsidR="00F14614" w:rsidRPr="003179F8" w:rsidRDefault="00F14614" w:rsidP="003179F8">
      <w:pPr>
        <w:pStyle w:val="berschrift1"/>
        <w:spacing w:before="0" w:after="100"/>
        <w:jc w:val="both"/>
        <w:rPr>
          <w:rFonts w:eastAsia="Times New Roman"/>
          <w:snapToGrid w:val="0"/>
          <w:sz w:val="24"/>
          <w:szCs w:val="24"/>
          <w:lang w:eastAsia="de-DE"/>
        </w:rPr>
      </w:pPr>
      <w:bookmarkStart w:id="25" w:name="_Toc172294746"/>
      <w:r w:rsidRPr="003179F8">
        <w:rPr>
          <w:rFonts w:eastAsia="Times New Roman"/>
          <w:snapToGrid w:val="0"/>
          <w:sz w:val="24"/>
          <w:szCs w:val="24"/>
          <w:lang w:eastAsia="de-DE"/>
        </w:rPr>
        <w:t>Risikocontrolling / Gesamtbanksteuerung</w:t>
      </w:r>
      <w:bookmarkEnd w:id="25"/>
    </w:p>
    <w:p w14:paraId="3F345681" w14:textId="54ECC05D" w:rsidR="00F14614" w:rsidRPr="003179F8" w:rsidRDefault="00F14614" w:rsidP="003179F8">
      <w:pPr>
        <w:pStyle w:val="berschrift2"/>
        <w:spacing w:before="0" w:after="100"/>
        <w:jc w:val="both"/>
        <w:rPr>
          <w:rFonts w:eastAsia="Times New Roman"/>
          <w:snapToGrid w:val="0"/>
          <w:sz w:val="24"/>
          <w:szCs w:val="24"/>
          <w:lang w:eastAsia="de-DE"/>
        </w:rPr>
      </w:pPr>
      <w:bookmarkStart w:id="26" w:name="_Toc172294747"/>
      <w:r w:rsidRPr="003179F8">
        <w:rPr>
          <w:rFonts w:eastAsia="Times New Roman"/>
          <w:snapToGrid w:val="0"/>
          <w:sz w:val="24"/>
          <w:szCs w:val="24"/>
          <w:lang w:eastAsia="de-DE"/>
        </w:rPr>
        <w:t>Risikoidentifikation</w:t>
      </w:r>
      <w:r w:rsidR="00D74E55">
        <w:rPr>
          <w:rFonts w:eastAsia="Times New Roman"/>
          <w:snapToGrid w:val="0"/>
          <w:sz w:val="24"/>
          <w:szCs w:val="24"/>
          <w:lang w:eastAsia="de-DE"/>
        </w:rPr>
        <w:t xml:space="preserve"> und - </w:t>
      </w:r>
      <w:proofErr w:type="spellStart"/>
      <w:r w:rsidR="00D74E55">
        <w:rPr>
          <w:rFonts w:eastAsia="Times New Roman"/>
          <w:snapToGrid w:val="0"/>
          <w:sz w:val="24"/>
          <w:szCs w:val="24"/>
          <w:lang w:eastAsia="de-DE"/>
        </w:rPr>
        <w:t>inventur</w:t>
      </w:r>
      <w:bookmarkEnd w:id="26"/>
      <w:proofErr w:type="spellEnd"/>
    </w:p>
    <w:p w14:paraId="4690FD3D" w14:textId="77777777" w:rsidR="00E963F5" w:rsidRDefault="00E963F5" w:rsidP="00E963F5">
      <w:pPr>
        <w:rPr>
          <w:rFonts w:ascii="Calibri" w:hAnsi="Calibri"/>
          <w:color w:val="000000"/>
        </w:rPr>
      </w:pPr>
      <w:r>
        <w:rPr>
          <w:color w:val="000000"/>
        </w:rPr>
        <w:t>Die Risikoidentifizierung bzw. Benennung von Risikoarten ist identisch zu den Bezeichnungen im „Rahmenkonzept VR-Control und Steuerungsrahmen“:</w:t>
      </w:r>
    </w:p>
    <w:p w14:paraId="434FE1C1" w14:textId="77777777" w:rsidR="00E963F5" w:rsidRDefault="00E963F5" w:rsidP="00E963F5"/>
    <w:p w14:paraId="6A9485B9" w14:textId="63638FED" w:rsidR="00E963F5" w:rsidRDefault="00E963F5" w:rsidP="41ED3B3B">
      <w:r>
        <w:rPr>
          <w:noProof/>
        </w:rPr>
        <w:lastRenderedPageBreak/>
        <w:drawing>
          <wp:inline distT="0" distB="0" distL="0" distR="0" wp14:anchorId="40688DB7" wp14:editId="06116DB7">
            <wp:extent cx="5759450" cy="2426970"/>
            <wp:effectExtent l="0" t="0" r="12700" b="1143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59450" cy="2426970"/>
                    </a:xfrm>
                    <a:prstGeom prst="rect">
                      <a:avLst/>
                    </a:prstGeom>
                    <a:noFill/>
                    <a:ln>
                      <a:noFill/>
                    </a:ln>
                  </pic:spPr>
                </pic:pic>
              </a:graphicData>
            </a:graphic>
          </wp:inline>
        </w:drawing>
      </w:r>
    </w:p>
    <w:p w14:paraId="5EDAF787" w14:textId="77777777" w:rsidR="00E963F5" w:rsidRDefault="00E963F5" w:rsidP="00E963F5">
      <w:pPr>
        <w:rPr>
          <w:b/>
          <w:bCs/>
          <w:i/>
          <w:iCs/>
          <w14:ligatures w14:val="standardContextual"/>
        </w:rPr>
      </w:pPr>
    </w:p>
    <w:p w14:paraId="1156D069" w14:textId="77777777" w:rsidR="00E963F5" w:rsidRPr="008334A6" w:rsidRDefault="00E963F5" w:rsidP="00E963F5">
      <w:pPr>
        <w:rPr>
          <w:b/>
          <w:bCs/>
          <w:i/>
          <w:iCs/>
          <w:sz w:val="16"/>
          <w:szCs w:val="16"/>
        </w:rPr>
      </w:pPr>
      <w:r w:rsidRPr="008334A6">
        <w:rPr>
          <w:b/>
          <w:bCs/>
          <w:i/>
          <w:iCs/>
          <w:sz w:val="16"/>
          <w:szCs w:val="16"/>
        </w:rPr>
        <w:t xml:space="preserve">Quelle: </w:t>
      </w:r>
      <w:proofErr w:type="spellStart"/>
      <w:r w:rsidRPr="008334A6">
        <w:rPr>
          <w:b/>
          <w:bCs/>
          <w:i/>
          <w:iCs/>
          <w:sz w:val="16"/>
          <w:szCs w:val="16"/>
        </w:rPr>
        <w:t>parcIT</w:t>
      </w:r>
      <w:proofErr w:type="spellEnd"/>
      <w:r w:rsidRPr="008334A6">
        <w:rPr>
          <w:b/>
          <w:bCs/>
          <w:i/>
          <w:iCs/>
          <w:sz w:val="16"/>
          <w:szCs w:val="16"/>
        </w:rPr>
        <w:t xml:space="preserve"> – Grundlagenkonzeption Risikoklassen, Risikoartenübersicht gem. Rahmenkonzept VR-Control und Steuerungsrahmen, Stand: 12.08.2020.</w:t>
      </w:r>
    </w:p>
    <w:p w14:paraId="4A8601DE" w14:textId="77777777" w:rsidR="00E963F5" w:rsidRDefault="00E963F5" w:rsidP="00E963F5"/>
    <w:p w14:paraId="1202848F" w14:textId="0813552D" w:rsidR="00E963F5" w:rsidRDefault="00E963F5" w:rsidP="00E963F5">
      <w:r>
        <w:t xml:space="preserve">Folgende Risiken werden mit der Produkteinführung von </w:t>
      </w:r>
      <w:proofErr w:type="spellStart"/>
      <w:r>
        <w:t>Repogeschäften</w:t>
      </w:r>
      <w:proofErr w:type="spellEnd"/>
      <w:r>
        <w:t xml:space="preserve"> identifiziert:</w:t>
      </w:r>
    </w:p>
    <w:p w14:paraId="05A40C70" w14:textId="77777777" w:rsidR="00E963F5" w:rsidRDefault="00E963F5" w:rsidP="00E963F5">
      <w:pPr>
        <w:pStyle w:val="Textkrper-Zeileneinzug"/>
        <w:ind w:left="0"/>
        <w:rPr>
          <w:lang w:eastAsia="en-US"/>
        </w:rPr>
      </w:pPr>
      <w:r>
        <w:rPr>
          <w:lang w:eastAsia="en-US"/>
        </w:rPr>
        <w:t>•</w:t>
      </w:r>
      <w:r>
        <w:rPr>
          <w:lang w:eastAsia="en-US"/>
        </w:rPr>
        <w:tab/>
        <w:t>Kreditrisiko</w:t>
      </w:r>
    </w:p>
    <w:p w14:paraId="5C303666" w14:textId="53F13130" w:rsidR="00E963F5" w:rsidRDefault="00E963F5" w:rsidP="00E963F5">
      <w:pPr>
        <w:pStyle w:val="Textkrper-Zeileneinzug"/>
        <w:ind w:left="0"/>
        <w:rPr>
          <w:lang w:eastAsia="en-US"/>
        </w:rPr>
      </w:pPr>
      <w:r>
        <w:rPr>
          <w:lang w:eastAsia="en-US"/>
        </w:rPr>
        <w:t xml:space="preserve">Emittentenrisiko: </w:t>
      </w:r>
      <w:r>
        <w:rPr>
          <w:lang w:eastAsia="en-US"/>
        </w:rPr>
        <w:br/>
      </w:r>
      <w:r w:rsidR="00C107B2">
        <w:rPr>
          <w:lang w:eastAsia="en-US"/>
        </w:rPr>
        <w:t>D</w:t>
      </w:r>
      <w:r>
        <w:rPr>
          <w:lang w:eastAsia="en-US"/>
        </w:rPr>
        <w:t xml:space="preserve">as Emittentenrisiko aus dem Wertpapier besteht weiterhin für den Pensionsgeber und wird während der Repo-Laufzeit auf das </w:t>
      </w:r>
      <w:proofErr w:type="spellStart"/>
      <w:r>
        <w:rPr>
          <w:lang w:eastAsia="en-US"/>
        </w:rPr>
        <w:t>Emittentenlimit</w:t>
      </w:r>
      <w:proofErr w:type="spellEnd"/>
      <w:r>
        <w:rPr>
          <w:lang w:eastAsia="en-US"/>
        </w:rPr>
        <w:t>/Strukturlimit angerechnet.</w:t>
      </w:r>
    </w:p>
    <w:p w14:paraId="3D5892F4" w14:textId="03B80102" w:rsidR="00383B88" w:rsidRPr="00C107B2" w:rsidRDefault="00383B88" w:rsidP="00E963F5">
      <w:pPr>
        <w:pStyle w:val="Textkrper-Zeileneinzug"/>
        <w:ind w:left="0"/>
        <w:rPr>
          <w:i/>
          <w:iCs/>
          <w:lang w:eastAsia="en-US"/>
        </w:rPr>
      </w:pPr>
      <w:proofErr w:type="spellStart"/>
      <w:r>
        <w:rPr>
          <w:lang w:eastAsia="en-US"/>
        </w:rPr>
        <w:t>Kontrahentenrisiko</w:t>
      </w:r>
      <w:proofErr w:type="spellEnd"/>
      <w:r>
        <w:rPr>
          <w:lang w:eastAsia="en-US"/>
        </w:rPr>
        <w:t xml:space="preserve">: </w:t>
      </w:r>
      <w:r>
        <w:rPr>
          <w:lang w:eastAsia="en-US"/>
        </w:rPr>
        <w:br/>
      </w:r>
      <w:r w:rsidR="00C107B2">
        <w:rPr>
          <w:lang w:eastAsia="en-US"/>
        </w:rPr>
        <w:t>D</w:t>
      </w:r>
      <w:r>
        <w:rPr>
          <w:lang w:eastAsia="en-US"/>
        </w:rPr>
        <w:t xml:space="preserve">urch das </w:t>
      </w:r>
      <w:proofErr w:type="spellStart"/>
      <w:r>
        <w:rPr>
          <w:lang w:eastAsia="en-US"/>
        </w:rPr>
        <w:t>Repogeschäft</w:t>
      </w:r>
      <w:proofErr w:type="spellEnd"/>
      <w:r>
        <w:rPr>
          <w:lang w:eastAsia="en-US"/>
        </w:rPr>
        <w:t xml:space="preserve"> entsteht ein </w:t>
      </w:r>
      <w:proofErr w:type="spellStart"/>
      <w:r>
        <w:rPr>
          <w:lang w:eastAsia="en-US"/>
        </w:rPr>
        <w:t>Kontrahentenrisiko</w:t>
      </w:r>
      <w:proofErr w:type="spellEnd"/>
      <w:r>
        <w:rPr>
          <w:lang w:eastAsia="en-US"/>
        </w:rPr>
        <w:t xml:space="preserve"> </w:t>
      </w:r>
      <w:proofErr w:type="spellStart"/>
      <w:r>
        <w:rPr>
          <w:lang w:eastAsia="en-US"/>
        </w:rPr>
        <w:t>ggü</w:t>
      </w:r>
      <w:proofErr w:type="spellEnd"/>
      <w:r>
        <w:rPr>
          <w:lang w:eastAsia="en-US"/>
        </w:rPr>
        <w:t xml:space="preserve">. dem Pensionsnehmer. Das </w:t>
      </w:r>
      <w:proofErr w:type="spellStart"/>
      <w:r>
        <w:rPr>
          <w:lang w:eastAsia="en-US"/>
        </w:rPr>
        <w:t>Kontrahentenlimit</w:t>
      </w:r>
      <w:proofErr w:type="spellEnd"/>
      <w:r>
        <w:rPr>
          <w:lang w:eastAsia="en-US"/>
        </w:rPr>
        <w:t xml:space="preserve"> für den Pensionsnehmer ist entsprechend in Höhe der seit Geschäftsabschluss positiven Marktveränderung des zugrunde liegenden Wertpapiers (zzgl. </w:t>
      </w:r>
      <w:proofErr w:type="spellStart"/>
      <w:r>
        <w:rPr>
          <w:lang w:eastAsia="en-US"/>
        </w:rPr>
        <w:t>add</w:t>
      </w:r>
      <w:proofErr w:type="spellEnd"/>
      <w:r>
        <w:rPr>
          <w:lang w:eastAsia="en-US"/>
        </w:rPr>
        <w:t>-on) zu belasten (Wiedereindeckungsrisiko).</w:t>
      </w:r>
      <w:r>
        <w:rPr>
          <w:lang w:eastAsia="en-US"/>
        </w:rPr>
        <w:br/>
      </w:r>
      <w:r w:rsidRPr="00C107B2">
        <w:rPr>
          <w:i/>
          <w:iCs/>
          <w:lang w:eastAsia="en-US"/>
        </w:rPr>
        <w:t xml:space="preserve">Empfehlung: Integration der </w:t>
      </w:r>
      <w:proofErr w:type="spellStart"/>
      <w:r w:rsidRPr="00C107B2">
        <w:rPr>
          <w:i/>
          <w:iCs/>
          <w:lang w:eastAsia="en-US"/>
        </w:rPr>
        <w:t>Kontrahentenlinie</w:t>
      </w:r>
      <w:proofErr w:type="spellEnd"/>
      <w:r w:rsidRPr="00C107B2">
        <w:rPr>
          <w:i/>
          <w:iCs/>
          <w:lang w:eastAsia="en-US"/>
        </w:rPr>
        <w:t xml:space="preserve"> in die Globallinie für die DZ BANK.</w:t>
      </w:r>
    </w:p>
    <w:p w14:paraId="40A3BEDF" w14:textId="77777777" w:rsidR="00E963F5" w:rsidRDefault="00E963F5" w:rsidP="00E963F5">
      <w:pPr>
        <w:pStyle w:val="Textkrper-Zeileneinzug"/>
        <w:ind w:left="0"/>
        <w:rPr>
          <w:lang w:eastAsia="en-US"/>
        </w:rPr>
      </w:pPr>
      <w:r>
        <w:rPr>
          <w:lang w:eastAsia="en-US"/>
        </w:rPr>
        <w:t>•</w:t>
      </w:r>
      <w:r>
        <w:rPr>
          <w:lang w:eastAsia="en-US"/>
        </w:rPr>
        <w:tab/>
        <w:t xml:space="preserve">Marktrisiko </w:t>
      </w:r>
    </w:p>
    <w:p w14:paraId="64DE465A" w14:textId="37F3A135" w:rsidR="00E963F5" w:rsidRDefault="00383B88" w:rsidP="00E963F5">
      <w:pPr>
        <w:pStyle w:val="Textkrper-Zeileneinzug"/>
        <w:ind w:left="0"/>
        <w:rPr>
          <w:lang w:eastAsia="en-US"/>
        </w:rPr>
      </w:pPr>
      <w:r>
        <w:rPr>
          <w:lang w:eastAsia="en-US"/>
        </w:rPr>
        <w:t>Das Marktrisiko verbleibt beim Pensions</w:t>
      </w:r>
      <w:r w:rsidR="0089691E">
        <w:rPr>
          <w:lang w:eastAsia="en-US"/>
        </w:rPr>
        <w:t>geber</w:t>
      </w:r>
      <w:r>
        <w:rPr>
          <w:lang w:eastAsia="en-US"/>
        </w:rPr>
        <w:t>, da der Rückkaufpreis für das Repo-Geschäft unabhängig von der Kursentwicklung des zugrundeliegenden Wertpapieres ist.</w:t>
      </w:r>
    </w:p>
    <w:p w14:paraId="23C8CFC2" w14:textId="77777777" w:rsidR="00073C72" w:rsidRDefault="00E963F5" w:rsidP="009A1C23">
      <w:pPr>
        <w:pStyle w:val="Textkrper-Zeileneinzug"/>
        <w:ind w:left="0"/>
        <w:rPr>
          <w:lang w:eastAsia="en-US"/>
        </w:rPr>
      </w:pPr>
      <w:r>
        <w:rPr>
          <w:lang w:eastAsia="en-US"/>
        </w:rPr>
        <w:t>•</w:t>
      </w:r>
      <w:r>
        <w:rPr>
          <w:lang w:eastAsia="en-US"/>
        </w:rPr>
        <w:tab/>
        <w:t>Liquiditätsrisik</w:t>
      </w:r>
      <w:r w:rsidR="00524F87">
        <w:rPr>
          <w:lang w:eastAsia="en-US"/>
        </w:rPr>
        <w:t>o</w:t>
      </w:r>
    </w:p>
    <w:p w14:paraId="67C57299" w14:textId="3BDC369B" w:rsidR="00E963F5" w:rsidRPr="009A1C23" w:rsidRDefault="00383B88" w:rsidP="009A1C23">
      <w:pPr>
        <w:pStyle w:val="Textkrper-Zeileneinzug"/>
        <w:ind w:left="0"/>
        <w:rPr>
          <w:lang w:eastAsia="en-US"/>
        </w:rPr>
      </w:pPr>
      <w:r>
        <w:rPr>
          <w:lang w:eastAsia="en-US"/>
        </w:rPr>
        <w:t>Diese</w:t>
      </w:r>
      <w:r w:rsidR="00CE5F90">
        <w:rPr>
          <w:lang w:eastAsia="en-US"/>
        </w:rPr>
        <w:t>s</w:t>
      </w:r>
      <w:r>
        <w:rPr>
          <w:lang w:eastAsia="en-US"/>
        </w:rPr>
        <w:t xml:space="preserve"> entsteh</w:t>
      </w:r>
      <w:r w:rsidR="00CE5F90">
        <w:rPr>
          <w:lang w:eastAsia="en-US"/>
        </w:rPr>
        <w:t>t</w:t>
      </w:r>
      <w:r>
        <w:rPr>
          <w:lang w:eastAsia="en-US"/>
        </w:rPr>
        <w:t xml:space="preserve"> dann</w:t>
      </w:r>
      <w:r w:rsidR="00073C72">
        <w:rPr>
          <w:lang w:eastAsia="en-US"/>
        </w:rPr>
        <w:t xml:space="preserve"> (beim Pensionsnehmer)</w:t>
      </w:r>
      <w:r>
        <w:rPr>
          <w:lang w:eastAsia="en-US"/>
        </w:rPr>
        <w:t>, wenn für die in Pension genommenen Wertpapiere kein liquider Sekundärmarkt vorhanden ist</w:t>
      </w:r>
      <w:r w:rsidR="00E963F5">
        <w:rPr>
          <w:lang w:eastAsia="en-US"/>
        </w:rPr>
        <w:t>.</w:t>
      </w:r>
    </w:p>
    <w:p w14:paraId="1CCA35B2" w14:textId="77777777" w:rsidR="00E963F5" w:rsidRDefault="00E963F5" w:rsidP="00E963F5">
      <w:pPr>
        <w:pStyle w:val="Textkrper-Zeileneinzug"/>
        <w:ind w:left="0"/>
        <w:rPr>
          <w:lang w:eastAsia="en-US"/>
        </w:rPr>
      </w:pPr>
      <w:r>
        <w:rPr>
          <w:lang w:eastAsia="en-US"/>
        </w:rPr>
        <w:t>•</w:t>
      </w:r>
      <w:r>
        <w:rPr>
          <w:lang w:eastAsia="en-US"/>
        </w:rPr>
        <w:tab/>
        <w:t>Weitere Risiken, insbesondere</w:t>
      </w:r>
    </w:p>
    <w:p w14:paraId="085A6C19" w14:textId="653ABE2D" w:rsidR="00073C72" w:rsidRDefault="00073C72" w:rsidP="00073C72">
      <w:pPr>
        <w:pStyle w:val="Textkrper-Zeileneinzug"/>
        <w:ind w:left="0"/>
        <w:rPr>
          <w:lang w:eastAsia="en-US"/>
        </w:rPr>
      </w:pPr>
      <w:r>
        <w:rPr>
          <w:lang w:eastAsia="en-US"/>
        </w:rPr>
        <w:t>Risikokonzentration</w:t>
      </w:r>
      <w:r>
        <w:br/>
      </w:r>
      <w:r w:rsidRPr="00073C72">
        <w:rPr>
          <w:lang w:eastAsia="en-US"/>
        </w:rPr>
        <w:t xml:space="preserve">Risikokonzentrationen gehören zu den querschnittlich zu betrachtenden Risikoklassen und entstehen aus einer Häufung von Risikopositionen, die bei Eintreten von bestimmten Ereignissen oder Entwicklungen gleich oder ähnlich reagieren. Bei der Nutzung von Repos sind Risikokonzentrationen unter anderem durch das Einbinden der Repos in die Strukturlimitierung (bspw. Assetklassen, Ratings, Nachhaltigkeit und </w:t>
      </w:r>
      <w:r w:rsidRPr="00073C72">
        <w:rPr>
          <w:lang w:eastAsia="en-US"/>
        </w:rPr>
        <w:lastRenderedPageBreak/>
        <w:t xml:space="preserve">Produkte) sowie die Emittenten- und </w:t>
      </w:r>
      <w:proofErr w:type="spellStart"/>
      <w:r w:rsidRPr="00073C72">
        <w:rPr>
          <w:lang w:eastAsia="en-US"/>
        </w:rPr>
        <w:t>Kontrahentenlimitierung</w:t>
      </w:r>
      <w:proofErr w:type="spellEnd"/>
      <w:r w:rsidRPr="00073C72">
        <w:rPr>
          <w:lang w:eastAsia="en-US"/>
        </w:rPr>
        <w:t xml:space="preserve"> entsprechend zu begrenzen.</w:t>
      </w:r>
    </w:p>
    <w:p w14:paraId="1130E824" w14:textId="7EB954F4" w:rsidR="00073C72" w:rsidRDefault="00073C72" w:rsidP="00073C72">
      <w:pPr>
        <w:pStyle w:val="Textkrper-Zeileneinzug"/>
        <w:ind w:left="0"/>
        <w:rPr>
          <w:lang w:eastAsia="en-US"/>
        </w:rPr>
      </w:pPr>
      <w:r>
        <w:rPr>
          <w:lang w:eastAsia="en-US"/>
        </w:rPr>
        <w:t>Nachhaltigkeitsrisiko</w:t>
      </w:r>
      <w:r>
        <w:rPr>
          <w:lang w:eastAsia="en-US"/>
        </w:rPr>
        <w:br/>
      </w:r>
      <w:r w:rsidRPr="00073C72">
        <w:rPr>
          <w:lang w:eastAsia="en-US"/>
        </w:rPr>
        <w:t xml:space="preserve">Nachhaltigkeitsrisiken gehören zu den querschnittlich zu betrachtenden Risikoklassen und sind – im Sinne der MaRisk – Ereignisse oder Bedingungen aus den Bereichen Umwelt, Soziales oder Unternehmensführung, deren Eintreten tatsächlich oder potenziell negative Auswirkungen auf die Vermögens-, Finanz- und Ertragslage sowie auf die Reputation eines beaufsichtigten Unternehmens haben können. Bei der Nutzung von Repos sind Nachhaltigkeitsrisiken unter anderem durch die Berücksichtigung von Nachhaltigkeitsaspekten im Rahmen der Einräumung der Emittenten- und </w:t>
      </w:r>
      <w:proofErr w:type="spellStart"/>
      <w:r w:rsidRPr="00073C72">
        <w:rPr>
          <w:lang w:eastAsia="en-US"/>
        </w:rPr>
        <w:t>Kontrahentenlimite</w:t>
      </w:r>
      <w:proofErr w:type="spellEnd"/>
      <w:r w:rsidRPr="00073C72">
        <w:rPr>
          <w:lang w:eastAsia="en-US"/>
        </w:rPr>
        <w:t xml:space="preserve"> (Votierung und Kreditentscheidung) zu berücksichtigen.</w:t>
      </w:r>
    </w:p>
    <w:p w14:paraId="64BE6E44" w14:textId="1FEC7949" w:rsidR="00E963F5" w:rsidRDefault="00073C72" w:rsidP="00073C72">
      <w:pPr>
        <w:pStyle w:val="Textkrper-Zeileneinzug"/>
        <w:ind w:left="0"/>
        <w:rPr>
          <w:lang w:eastAsia="en-US"/>
        </w:rPr>
      </w:pPr>
      <w:r>
        <w:rPr>
          <w:lang w:eastAsia="en-US"/>
        </w:rPr>
        <w:t>Operationelles Risiko</w:t>
      </w:r>
      <w:r>
        <w:rPr>
          <w:lang w:eastAsia="en-US"/>
        </w:rPr>
        <w:br/>
      </w:r>
      <w:r w:rsidRPr="00073C72">
        <w:rPr>
          <w:lang w:eastAsia="en-US"/>
        </w:rPr>
        <w:t>Das operationelle Risiko kann in Informations- und Kommunikationstechnologierisiko (z</w:t>
      </w:r>
      <w:r w:rsidR="005C2FD6">
        <w:rPr>
          <w:lang w:eastAsia="en-US"/>
        </w:rPr>
        <w:t>.</w:t>
      </w:r>
      <w:r w:rsidRPr="00073C72">
        <w:rPr>
          <w:lang w:eastAsia="en-US"/>
        </w:rPr>
        <w:t>B. Versagen der Hard- und Software), Verhaltensrisiko (z. B. Schäden durch vorsätzliches oder fahrlässiges Verhalten gegenüber Kunden), Compliance-Risiko (z. B. Nichterfüllung gesetzlicher Regelungen) und weitere operationelle Risiken (z.B. Rechtsrisiken oder Ungültigkeit von Vertragsbedingungen) unterteilt werden. Bei der Nutzung von Repos für die Eigenanlagen sind keine außergewöhnlichen oder speziellen operationelle Risiken zu berücksichtigen, da diese sich im Wesentlichen nicht von denen anderer Finanzinstrumente unterscheiden.</w:t>
      </w:r>
    </w:p>
    <w:p w14:paraId="78990FE6" w14:textId="77777777" w:rsidR="00E963F5" w:rsidRDefault="00E963F5" w:rsidP="00E963F5">
      <w:pPr>
        <w:pStyle w:val="Textkrper-Zeileneinzug"/>
        <w:ind w:left="0"/>
        <w:rPr>
          <w:lang w:eastAsia="en-US"/>
        </w:rPr>
      </w:pPr>
      <w:r>
        <w:rPr>
          <w:lang w:eastAsia="en-US"/>
        </w:rPr>
        <w:t>In der Risikoinventur erfolgt die Ermittlung von wesentlichen und nicht wesentlichen Risiken anhand von Wesentlichkeitsschwellen (ökonomisch = Vermögenslage, normativ = Ertragslage und Liquiditätslage).</w:t>
      </w:r>
    </w:p>
    <w:p w14:paraId="2303EBA9" w14:textId="77777777" w:rsidR="00E963F5" w:rsidRDefault="00E963F5" w:rsidP="00E963F5">
      <w:pPr>
        <w:pStyle w:val="Textkrper-Zeileneinzug"/>
        <w:ind w:left="0"/>
        <w:rPr>
          <w:lang w:eastAsia="en-US"/>
        </w:rPr>
      </w:pPr>
      <w:r>
        <w:rPr>
          <w:lang w:eastAsia="en-US"/>
        </w:rPr>
        <w:t xml:space="preserve">Mit der Einführung eines neuen Produktes ist zu prüfen, ob bezüglich der integrierten Risiken festgelegte Wesentlichkeitsschwellen überschritten werden. Sollte ein bzw. mehrere Risiken größer als eine Wesentlichkeitsschwelle sein, handelt es sich um ein wesentliches Risiko und die Risikosteuerungs- und controllingprozesse gem. MaRisk sind zu durchlaufen. </w:t>
      </w:r>
    </w:p>
    <w:p w14:paraId="687464AB" w14:textId="77777777" w:rsidR="00E963F5" w:rsidRDefault="00E963F5" w:rsidP="00E963F5">
      <w:pPr>
        <w:pStyle w:val="Textkrper-Zeileneinzug"/>
        <w:ind w:left="0"/>
        <w:rPr>
          <w:lang w:eastAsia="en-US"/>
        </w:rPr>
      </w:pPr>
      <w:r>
        <w:rPr>
          <w:lang w:eastAsia="en-US"/>
        </w:rPr>
        <w:t>Sind die Risiken im neuen Produkt bereits in der Risikoinventur als wesentliche Risikoart(en) definiert, werden die durch das neue Produkt gegebenen Risiken in die herkömmlichen Prozesse integriert. Dabei sind Risikokonzentrationen zu berücksichtigen.</w:t>
      </w:r>
    </w:p>
    <w:p w14:paraId="04541390" w14:textId="77777777" w:rsidR="004B55F2" w:rsidRPr="003179F8" w:rsidRDefault="004B55F2" w:rsidP="003179F8">
      <w:pPr>
        <w:jc w:val="both"/>
        <w:rPr>
          <w:sz w:val="24"/>
          <w:szCs w:val="24"/>
          <w:lang w:eastAsia="de-DE"/>
        </w:rPr>
      </w:pPr>
    </w:p>
    <w:p w14:paraId="55E77BB0" w14:textId="604C006F" w:rsidR="00F14614" w:rsidRPr="003179F8" w:rsidRDefault="00D74E55" w:rsidP="003179F8">
      <w:pPr>
        <w:pStyle w:val="berschrift2"/>
        <w:spacing w:before="0" w:after="100"/>
        <w:jc w:val="both"/>
        <w:rPr>
          <w:rFonts w:eastAsia="Times New Roman"/>
          <w:snapToGrid w:val="0"/>
          <w:sz w:val="24"/>
          <w:szCs w:val="24"/>
          <w:lang w:eastAsia="de-DE"/>
        </w:rPr>
      </w:pPr>
      <w:bookmarkStart w:id="27" w:name="_Toc172294748"/>
      <w:r>
        <w:rPr>
          <w:rFonts w:eastAsia="Times New Roman"/>
          <w:snapToGrid w:val="0"/>
          <w:sz w:val="24"/>
          <w:szCs w:val="24"/>
          <w:lang w:eastAsia="de-DE"/>
        </w:rPr>
        <w:t xml:space="preserve">Chance / </w:t>
      </w:r>
      <w:r w:rsidR="00F14614" w:rsidRPr="003179F8">
        <w:rPr>
          <w:rFonts w:eastAsia="Times New Roman"/>
          <w:snapToGrid w:val="0"/>
          <w:sz w:val="24"/>
          <w:szCs w:val="24"/>
          <w:lang w:eastAsia="de-DE"/>
        </w:rPr>
        <w:t>Risikoprofil des Produktes</w:t>
      </w:r>
      <w:bookmarkEnd w:id="27"/>
    </w:p>
    <w:p w14:paraId="75167E28" w14:textId="4284D1CF" w:rsidR="004B55F2"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Analog zu anderen Pensionsgeschäften verbleibt das Marktpreisrisiko des in Pension gegeben Wertpapiers beim Pensionsgeber. Das Risiko eines eventuellen Ausfalls des Kontrahenten wird durch die vertragliche Vereinbarung von Margin-Zahlungen reduziert.</w:t>
      </w:r>
    </w:p>
    <w:p w14:paraId="0762D1C7" w14:textId="77777777" w:rsidR="004B55F2" w:rsidRPr="003179F8" w:rsidRDefault="004B55F2" w:rsidP="003179F8">
      <w:pPr>
        <w:jc w:val="both"/>
        <w:rPr>
          <w:sz w:val="24"/>
          <w:szCs w:val="24"/>
          <w:lang w:eastAsia="de-DE"/>
        </w:rPr>
      </w:pPr>
    </w:p>
    <w:p w14:paraId="2C80ED33" w14:textId="62FBDB53" w:rsidR="00F14614" w:rsidRPr="003179F8" w:rsidRDefault="00F14614" w:rsidP="003179F8">
      <w:pPr>
        <w:pStyle w:val="berschrift2"/>
        <w:spacing w:before="0" w:after="100"/>
        <w:jc w:val="both"/>
        <w:rPr>
          <w:rFonts w:eastAsia="Times New Roman"/>
          <w:snapToGrid w:val="0"/>
          <w:sz w:val="24"/>
          <w:szCs w:val="24"/>
          <w:lang w:eastAsia="de-DE"/>
        </w:rPr>
      </w:pPr>
      <w:bookmarkStart w:id="28" w:name="_Toc172294749"/>
      <w:r w:rsidRPr="003179F8">
        <w:rPr>
          <w:rFonts w:eastAsia="Times New Roman"/>
          <w:snapToGrid w:val="0"/>
          <w:sz w:val="24"/>
          <w:szCs w:val="24"/>
          <w:lang w:eastAsia="de-DE"/>
        </w:rPr>
        <w:t>Risikomessung</w:t>
      </w:r>
      <w:bookmarkEnd w:id="28"/>
    </w:p>
    <w:p w14:paraId="44527B2A"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Die Bewertung von Marktpreis- und Adressrisiko erfolgt mittels VR-CONTROL</w:t>
      </w:r>
    </w:p>
    <w:p w14:paraId="7319EAD2" w14:textId="4F7C0B2D" w:rsidR="004B55F2" w:rsidRPr="006E6E97" w:rsidRDefault="00A36E84" w:rsidP="00A36E84">
      <w:pPr>
        <w:pStyle w:val="berschrift3"/>
        <w:rPr>
          <w:lang w:eastAsia="de-DE"/>
        </w:rPr>
      </w:pPr>
      <w:bookmarkStart w:id="29" w:name="_Toc172294750"/>
      <w:r w:rsidRPr="006E6E97">
        <w:rPr>
          <w:lang w:eastAsia="de-DE"/>
        </w:rPr>
        <w:lastRenderedPageBreak/>
        <w:t>Marktpreisrisiko</w:t>
      </w:r>
      <w:bookmarkEnd w:id="29"/>
    </w:p>
    <w:p w14:paraId="2B9FC21C" w14:textId="77777777" w:rsidR="00A36E84" w:rsidRDefault="00A36E84" w:rsidP="00A36E84">
      <w:pPr>
        <w:rPr>
          <w:lang w:eastAsia="de-DE"/>
        </w:rPr>
      </w:pPr>
      <w:r>
        <w:rPr>
          <w:lang w:eastAsia="de-DE"/>
        </w:rPr>
        <w:t xml:space="preserve">Analog der in den Rahmenbedingungen der Bank festgelegten Vorgaben werden auch die Marktpreisrisiken aus Repo-Geschäften gemessen. </w:t>
      </w:r>
    </w:p>
    <w:p w14:paraId="2AE67C92" w14:textId="77777777" w:rsidR="00A36E84" w:rsidRDefault="00A36E84" w:rsidP="00A36E84">
      <w:pPr>
        <w:rPr>
          <w:lang w:eastAsia="de-DE"/>
        </w:rPr>
      </w:pPr>
      <w:r>
        <w:rPr>
          <w:lang w:eastAsia="de-DE"/>
        </w:rPr>
        <w:t>Beim Pensionsgeber wird neben dem Risiko der Wertänderung des Wertpapiers auch das Zinsrisiko aus der Verbindlichkeit gegenüber dem Pensionsnehmer berücksichtigt.</w:t>
      </w:r>
    </w:p>
    <w:p w14:paraId="1A09EA4C" w14:textId="2A8277E2" w:rsidR="00A36E84" w:rsidRPr="006E6E97" w:rsidRDefault="00A36E84" w:rsidP="006E6E97">
      <w:pPr>
        <w:pStyle w:val="berschrift3"/>
        <w:rPr>
          <w:lang w:eastAsia="de-DE"/>
        </w:rPr>
      </w:pPr>
      <w:bookmarkStart w:id="30" w:name="_Toc172294751"/>
      <w:r w:rsidRPr="006E6E97">
        <w:rPr>
          <w:lang w:eastAsia="de-DE"/>
        </w:rPr>
        <w:t>Adressausfallrisiko</w:t>
      </w:r>
      <w:bookmarkEnd w:id="30"/>
    </w:p>
    <w:p w14:paraId="6AE4AC44" w14:textId="01218B41" w:rsidR="00A36E84" w:rsidRPr="00A36E84" w:rsidRDefault="00A36E84" w:rsidP="00A36E84">
      <w:pPr>
        <w:jc w:val="both"/>
        <w:rPr>
          <w:sz w:val="24"/>
          <w:szCs w:val="24"/>
          <w:lang w:eastAsia="de-DE"/>
        </w:rPr>
      </w:pPr>
      <w:r w:rsidRPr="00A36E84">
        <w:rPr>
          <w:sz w:val="24"/>
          <w:szCs w:val="24"/>
          <w:lang w:eastAsia="de-DE"/>
        </w:rPr>
        <w:t xml:space="preserve">Das Adressausfallrisiko </w:t>
      </w:r>
      <w:r w:rsidR="00D16CDA">
        <w:rPr>
          <w:sz w:val="24"/>
          <w:szCs w:val="24"/>
          <w:lang w:eastAsia="de-DE"/>
        </w:rPr>
        <w:t xml:space="preserve">in Form des </w:t>
      </w:r>
      <w:proofErr w:type="spellStart"/>
      <w:r w:rsidR="00D16CDA">
        <w:rPr>
          <w:sz w:val="24"/>
          <w:szCs w:val="24"/>
          <w:lang w:eastAsia="de-DE"/>
        </w:rPr>
        <w:t>Kontrahentenrisikos</w:t>
      </w:r>
      <w:proofErr w:type="spellEnd"/>
      <w:r w:rsidR="00D16CDA">
        <w:rPr>
          <w:sz w:val="24"/>
          <w:szCs w:val="24"/>
          <w:lang w:eastAsia="de-DE"/>
        </w:rPr>
        <w:t xml:space="preserve"> </w:t>
      </w:r>
      <w:r w:rsidRPr="00A36E84">
        <w:rPr>
          <w:sz w:val="24"/>
          <w:szCs w:val="24"/>
          <w:lang w:eastAsia="de-DE"/>
        </w:rPr>
        <w:t>wird bei einem Pensionsgeschäft primär durch das Marktpreisänderungsrisiko des Wertpapiers bestimmt, da im Falle des Ausfalls des Kontrahenten ein Verlust in Höhe einer seit Geschäftsabschluss positiven (aus Sicht des Pensionsgebers) bzw. negativen (aus Sicht des Pensionsnehmers) Marktwertentwicklung des Wertpapiers realisiert wird.</w:t>
      </w:r>
    </w:p>
    <w:p w14:paraId="61B18E09" w14:textId="77777777" w:rsidR="00A36E84" w:rsidRPr="00A36E84" w:rsidRDefault="00A36E84" w:rsidP="00A36E84">
      <w:pPr>
        <w:jc w:val="both"/>
        <w:rPr>
          <w:sz w:val="24"/>
          <w:szCs w:val="24"/>
          <w:lang w:eastAsia="de-DE"/>
        </w:rPr>
      </w:pPr>
      <w:r w:rsidRPr="00A36E84">
        <w:rPr>
          <w:sz w:val="24"/>
          <w:szCs w:val="24"/>
          <w:lang w:eastAsia="de-DE"/>
        </w:rPr>
        <w:t>Zur Limitierung des Adressausfallrisikos werden für den Kontrahenten Kreditlinien eingerichtet (</w:t>
      </w:r>
      <w:proofErr w:type="spellStart"/>
      <w:r w:rsidRPr="00A36E84">
        <w:rPr>
          <w:sz w:val="24"/>
          <w:szCs w:val="24"/>
          <w:lang w:eastAsia="de-DE"/>
        </w:rPr>
        <w:t>Kontrahentenlimite</w:t>
      </w:r>
      <w:proofErr w:type="spellEnd"/>
      <w:r w:rsidRPr="00A36E84">
        <w:rPr>
          <w:sz w:val="24"/>
          <w:szCs w:val="24"/>
          <w:lang w:eastAsia="de-DE"/>
        </w:rPr>
        <w:t xml:space="preserve">). [Die Kreditlinien richten sich nach den Großkreditgrenzen und werden gemäß der vom Vorstand vorgegebenen Kreditkompetenz festgelegt.] </w:t>
      </w:r>
    </w:p>
    <w:p w14:paraId="73A2C74F" w14:textId="77777777" w:rsidR="00A36E84" w:rsidRPr="00A36E84" w:rsidRDefault="00A36E84" w:rsidP="00A36E84">
      <w:pPr>
        <w:jc w:val="both"/>
        <w:rPr>
          <w:sz w:val="24"/>
          <w:szCs w:val="24"/>
          <w:lang w:eastAsia="de-DE"/>
        </w:rPr>
      </w:pPr>
      <w:r w:rsidRPr="00A36E84">
        <w:rPr>
          <w:sz w:val="24"/>
          <w:szCs w:val="24"/>
          <w:lang w:eastAsia="de-DE"/>
        </w:rPr>
        <w:t xml:space="preserve">Das </w:t>
      </w:r>
      <w:proofErr w:type="spellStart"/>
      <w:r w:rsidRPr="00A36E84">
        <w:rPr>
          <w:sz w:val="24"/>
          <w:szCs w:val="24"/>
          <w:lang w:eastAsia="de-DE"/>
        </w:rPr>
        <w:t>Kontrahentenrisiko</w:t>
      </w:r>
      <w:proofErr w:type="spellEnd"/>
      <w:r w:rsidRPr="00A36E84">
        <w:rPr>
          <w:sz w:val="24"/>
          <w:szCs w:val="24"/>
          <w:lang w:eastAsia="de-DE"/>
        </w:rPr>
        <w:t xml:space="preserve"> wird durch den vertraglichen Einsatz von Margin-Zahlungen reduziert. Ab einem Volumen von [Mindesttransferbetrag gemäß Vertrag] Euro werden Margin-Zahlungen zur Vermeidung eines wesentlichen </w:t>
      </w:r>
      <w:proofErr w:type="spellStart"/>
      <w:r w:rsidRPr="00A36E84">
        <w:rPr>
          <w:sz w:val="24"/>
          <w:szCs w:val="24"/>
          <w:lang w:eastAsia="de-DE"/>
        </w:rPr>
        <w:t>Kontrahentenrisikos</w:t>
      </w:r>
      <w:proofErr w:type="spellEnd"/>
      <w:r w:rsidRPr="00A36E84">
        <w:rPr>
          <w:sz w:val="24"/>
          <w:szCs w:val="24"/>
          <w:lang w:eastAsia="de-DE"/>
        </w:rPr>
        <w:t xml:space="preserve"> vereinbart.</w:t>
      </w:r>
    </w:p>
    <w:p w14:paraId="46C50BF3" w14:textId="77777777" w:rsidR="00A36E84" w:rsidRPr="00A36E84" w:rsidRDefault="00A36E84" w:rsidP="00A36E84">
      <w:pPr>
        <w:jc w:val="both"/>
        <w:rPr>
          <w:sz w:val="24"/>
          <w:szCs w:val="24"/>
          <w:lang w:eastAsia="de-DE"/>
        </w:rPr>
      </w:pPr>
      <w:r w:rsidRPr="00A36E84">
        <w:rPr>
          <w:sz w:val="24"/>
          <w:szCs w:val="24"/>
          <w:lang w:eastAsia="de-DE"/>
        </w:rPr>
        <w:t xml:space="preserve">Der Pensionsgeber berücksichtigt das Emittentenrisiko aus dem Wertpapier und rechnet es auf das </w:t>
      </w:r>
      <w:proofErr w:type="spellStart"/>
      <w:r w:rsidRPr="00A36E84">
        <w:rPr>
          <w:sz w:val="24"/>
          <w:szCs w:val="24"/>
          <w:lang w:eastAsia="de-DE"/>
        </w:rPr>
        <w:t>Emittentenlimit</w:t>
      </w:r>
      <w:proofErr w:type="spellEnd"/>
      <w:r w:rsidRPr="00A36E84">
        <w:rPr>
          <w:sz w:val="24"/>
          <w:szCs w:val="24"/>
          <w:lang w:eastAsia="de-DE"/>
        </w:rPr>
        <w:t xml:space="preserve">/Strukturlimit an. Darüber hinaus bewertet er das </w:t>
      </w:r>
      <w:proofErr w:type="spellStart"/>
      <w:r w:rsidRPr="00A36E84">
        <w:rPr>
          <w:sz w:val="24"/>
          <w:szCs w:val="24"/>
          <w:lang w:eastAsia="de-DE"/>
        </w:rPr>
        <w:t>Kontrahentenrisiko</w:t>
      </w:r>
      <w:proofErr w:type="spellEnd"/>
      <w:r w:rsidRPr="00A36E84">
        <w:rPr>
          <w:sz w:val="24"/>
          <w:szCs w:val="24"/>
          <w:lang w:eastAsia="de-DE"/>
        </w:rPr>
        <w:t xml:space="preserve"> in Form des Ausfallrisikos des Pensionsnehmers. Dies entspricht der Höhe der positiven Marktveränderung seit Geschäftsabschluss des zugrundeliegenden Wertpapiers [zzgl. </w:t>
      </w:r>
      <w:proofErr w:type="spellStart"/>
      <w:r w:rsidRPr="00A36E84">
        <w:rPr>
          <w:sz w:val="24"/>
          <w:szCs w:val="24"/>
          <w:lang w:eastAsia="de-DE"/>
        </w:rPr>
        <w:t>Addon</w:t>
      </w:r>
      <w:proofErr w:type="spellEnd"/>
      <w:r w:rsidRPr="00A36E84">
        <w:rPr>
          <w:sz w:val="24"/>
          <w:szCs w:val="24"/>
          <w:lang w:eastAsia="de-DE"/>
        </w:rPr>
        <w:t>], da bei Ausfall des Kontrahenten die positive Marktwertdifferenz verloren gehen kann (Wiedereindeckungsrisiko).</w:t>
      </w:r>
    </w:p>
    <w:p w14:paraId="54A1BE72" w14:textId="59C81A9B" w:rsidR="00A36E84" w:rsidRPr="006E6E97" w:rsidRDefault="00A36E84" w:rsidP="0007217F">
      <w:pPr>
        <w:pStyle w:val="berschrift3"/>
        <w:rPr>
          <w:bCs w:val="0"/>
          <w:lang w:eastAsia="de-DE"/>
        </w:rPr>
      </w:pPr>
      <w:bookmarkStart w:id="31" w:name="_Toc172294752"/>
      <w:r w:rsidRPr="006E6E97">
        <w:rPr>
          <w:bCs w:val="0"/>
          <w:lang w:eastAsia="de-DE"/>
        </w:rPr>
        <w:t>Liquiditätsrisik</w:t>
      </w:r>
      <w:r w:rsidR="004EB41C" w:rsidRPr="006E6E97">
        <w:rPr>
          <w:bCs w:val="0"/>
          <w:lang w:eastAsia="de-DE"/>
        </w:rPr>
        <w:t>o</w:t>
      </w:r>
      <w:bookmarkEnd w:id="31"/>
    </w:p>
    <w:p w14:paraId="39C75F2E" w14:textId="77777777" w:rsidR="00A36E84" w:rsidRPr="00A36E84" w:rsidRDefault="00A36E84" w:rsidP="00A36E84">
      <w:pPr>
        <w:jc w:val="both"/>
        <w:rPr>
          <w:sz w:val="24"/>
          <w:szCs w:val="24"/>
          <w:lang w:eastAsia="de-DE"/>
        </w:rPr>
      </w:pPr>
      <w:r w:rsidRPr="00A36E84">
        <w:rPr>
          <w:sz w:val="24"/>
          <w:szCs w:val="24"/>
          <w:lang w:eastAsia="de-DE"/>
        </w:rPr>
        <w:t>Zur Begrenzung der Liquiditätsrisiken werden grundsätzlich nur Papiere eingesetzt, bei denen ein liquider Sekundärmarkt sichergestellt ist.</w:t>
      </w:r>
    </w:p>
    <w:p w14:paraId="52C40307" w14:textId="309B49B8" w:rsidR="00A36E84" w:rsidRDefault="00A36E84" w:rsidP="00A36E84">
      <w:pPr>
        <w:jc w:val="both"/>
        <w:rPr>
          <w:sz w:val="24"/>
          <w:szCs w:val="24"/>
          <w:lang w:eastAsia="de-DE"/>
        </w:rPr>
      </w:pPr>
      <w:r w:rsidRPr="00A36E84">
        <w:rPr>
          <w:sz w:val="24"/>
          <w:szCs w:val="24"/>
          <w:lang w:eastAsia="de-DE"/>
        </w:rPr>
        <w:t>Der Einbezug in die Überwachung des Liquiditätsrisikos erfolgt entsprechend der über-greifend festgelegten Regelungen.</w:t>
      </w:r>
    </w:p>
    <w:p w14:paraId="0413F3BF" w14:textId="3DAF3D52" w:rsidR="00A36E84" w:rsidRPr="00D16CDA" w:rsidRDefault="00A36E84">
      <w:pPr>
        <w:pStyle w:val="berschrift3"/>
        <w:rPr>
          <w:b/>
          <w:sz w:val="24"/>
          <w:szCs w:val="24"/>
          <w:lang w:eastAsia="de-DE"/>
        </w:rPr>
      </w:pPr>
      <w:bookmarkStart w:id="32" w:name="_Toc172294753"/>
      <w:r w:rsidRPr="00D16CDA">
        <w:rPr>
          <w:bCs w:val="0"/>
          <w:sz w:val="24"/>
          <w:szCs w:val="24"/>
          <w:lang w:eastAsia="de-DE"/>
        </w:rPr>
        <w:t>Weitere</w:t>
      </w:r>
      <w:r w:rsidRPr="00D16CDA">
        <w:rPr>
          <w:b/>
          <w:sz w:val="24"/>
          <w:szCs w:val="24"/>
          <w:lang w:eastAsia="de-DE"/>
        </w:rPr>
        <w:t xml:space="preserve"> </w:t>
      </w:r>
      <w:r w:rsidRPr="00D16CDA">
        <w:rPr>
          <w:bCs w:val="0"/>
          <w:sz w:val="24"/>
          <w:szCs w:val="24"/>
          <w:lang w:eastAsia="de-DE"/>
        </w:rPr>
        <w:t>Risiken</w:t>
      </w:r>
      <w:bookmarkEnd w:id="32"/>
    </w:p>
    <w:p w14:paraId="7F6E0BD6" w14:textId="048844D9" w:rsidR="00A36E84" w:rsidRPr="00D16CDA" w:rsidRDefault="00960A13" w:rsidP="0007217F">
      <w:pPr>
        <w:rPr>
          <w:sz w:val="24"/>
          <w:szCs w:val="24"/>
          <w:lang w:eastAsia="de-DE"/>
        </w:rPr>
      </w:pPr>
      <w:bookmarkStart w:id="33" w:name="_Hlk172280075"/>
      <w:r w:rsidRPr="00D16CDA">
        <w:rPr>
          <w:sz w:val="24"/>
          <w:szCs w:val="24"/>
          <w:lang w:eastAsia="de-DE"/>
        </w:rPr>
        <w:t>nicht identifiziert</w:t>
      </w:r>
    </w:p>
    <w:bookmarkEnd w:id="33"/>
    <w:p w14:paraId="1078B49F" w14:textId="77777777" w:rsidR="00A36E84" w:rsidRPr="00D16CDA" w:rsidRDefault="00A36E84" w:rsidP="003179F8">
      <w:pPr>
        <w:jc w:val="both"/>
        <w:rPr>
          <w:sz w:val="24"/>
          <w:szCs w:val="24"/>
          <w:lang w:eastAsia="de-DE"/>
        </w:rPr>
      </w:pPr>
    </w:p>
    <w:p w14:paraId="5688DC20" w14:textId="78B9546C" w:rsidR="006960B0" w:rsidRPr="00D16CDA" w:rsidRDefault="00F14614" w:rsidP="006960B0">
      <w:pPr>
        <w:pStyle w:val="berschrift2"/>
        <w:spacing w:before="0" w:after="100"/>
        <w:jc w:val="both"/>
        <w:rPr>
          <w:rFonts w:eastAsia="Times New Roman"/>
          <w:snapToGrid w:val="0"/>
          <w:sz w:val="24"/>
          <w:szCs w:val="24"/>
          <w:lang w:eastAsia="de-DE"/>
        </w:rPr>
      </w:pPr>
      <w:bookmarkStart w:id="34" w:name="_Toc172294754"/>
      <w:r w:rsidRPr="00D16CDA">
        <w:rPr>
          <w:rFonts w:eastAsia="Times New Roman"/>
          <w:snapToGrid w:val="0"/>
          <w:sz w:val="24"/>
          <w:szCs w:val="24"/>
          <w:lang w:eastAsia="de-DE"/>
        </w:rPr>
        <w:t>Limitierung</w:t>
      </w:r>
      <w:bookmarkEnd w:id="34"/>
    </w:p>
    <w:p w14:paraId="08F8A516" w14:textId="77777777" w:rsidR="005045B5" w:rsidRPr="00D16CDA" w:rsidRDefault="005045B5" w:rsidP="006960B0">
      <w:pPr>
        <w:jc w:val="both"/>
        <w:rPr>
          <w:sz w:val="24"/>
          <w:szCs w:val="24"/>
          <w:lang w:eastAsia="de-DE"/>
        </w:rPr>
      </w:pPr>
      <w:r w:rsidRPr="00D16CDA">
        <w:rPr>
          <w:sz w:val="24"/>
          <w:szCs w:val="24"/>
          <w:lang w:eastAsia="de-DE"/>
        </w:rPr>
        <w:t xml:space="preserve">[Für die Limitierung unserer Eigenanlagen verwenden wir das </w:t>
      </w:r>
      <w:proofErr w:type="spellStart"/>
      <w:r w:rsidRPr="00D16CDA">
        <w:rPr>
          <w:sz w:val="24"/>
          <w:szCs w:val="24"/>
          <w:lang w:eastAsia="de-DE"/>
        </w:rPr>
        <w:t>Limitmodul</w:t>
      </w:r>
      <w:proofErr w:type="spellEnd"/>
      <w:r w:rsidRPr="00D16CDA">
        <w:rPr>
          <w:sz w:val="24"/>
          <w:szCs w:val="24"/>
          <w:lang w:eastAsia="de-DE"/>
        </w:rPr>
        <w:t xml:space="preserve"> von </w:t>
      </w:r>
      <w:proofErr w:type="spellStart"/>
      <w:r w:rsidRPr="00D16CDA">
        <w:rPr>
          <w:sz w:val="24"/>
          <w:szCs w:val="24"/>
          <w:lang w:eastAsia="de-DE"/>
        </w:rPr>
        <w:t>EGon</w:t>
      </w:r>
      <w:proofErr w:type="spellEnd"/>
      <w:r w:rsidRPr="00D16CDA">
        <w:rPr>
          <w:sz w:val="24"/>
          <w:szCs w:val="24"/>
          <w:lang w:eastAsia="de-DE"/>
        </w:rPr>
        <w:t>]</w:t>
      </w:r>
    </w:p>
    <w:p w14:paraId="2F221141" w14:textId="7137E928" w:rsidR="00176E9D" w:rsidRPr="00D16CDA" w:rsidRDefault="00176E9D" w:rsidP="006960B0">
      <w:pPr>
        <w:jc w:val="both"/>
        <w:rPr>
          <w:sz w:val="24"/>
          <w:szCs w:val="24"/>
          <w:lang w:eastAsia="de-DE"/>
        </w:rPr>
      </w:pPr>
      <w:proofErr w:type="spellStart"/>
      <w:r w:rsidRPr="00D16CDA">
        <w:rPr>
          <w:sz w:val="24"/>
          <w:szCs w:val="24"/>
          <w:lang w:eastAsia="de-DE"/>
        </w:rPr>
        <w:t>Emittentenlimit</w:t>
      </w:r>
      <w:proofErr w:type="spellEnd"/>
      <w:r w:rsidRPr="00D16CDA">
        <w:rPr>
          <w:sz w:val="24"/>
          <w:szCs w:val="24"/>
          <w:lang w:eastAsia="de-DE"/>
        </w:rPr>
        <w:t>:</w:t>
      </w:r>
    </w:p>
    <w:p w14:paraId="66773E69" w14:textId="5655A830" w:rsidR="006960B0" w:rsidRPr="00D16CDA" w:rsidRDefault="006960B0" w:rsidP="006960B0">
      <w:pPr>
        <w:jc w:val="both"/>
        <w:rPr>
          <w:sz w:val="24"/>
          <w:szCs w:val="24"/>
          <w:lang w:eastAsia="de-DE"/>
        </w:rPr>
      </w:pPr>
      <w:r w:rsidRPr="00D16CDA">
        <w:rPr>
          <w:sz w:val="24"/>
          <w:szCs w:val="24"/>
          <w:lang w:eastAsia="de-DE"/>
        </w:rPr>
        <w:t xml:space="preserve">Geschäfte in Repos sind darüber hinaus auf nachfolgende Volumina für die jeweiligen </w:t>
      </w:r>
      <w:proofErr w:type="spellStart"/>
      <w:r w:rsidRPr="00D16CDA">
        <w:rPr>
          <w:sz w:val="24"/>
          <w:szCs w:val="24"/>
          <w:lang w:eastAsia="de-DE"/>
        </w:rPr>
        <w:t>Emittentengruppen</w:t>
      </w:r>
      <w:proofErr w:type="spellEnd"/>
      <w:r w:rsidRPr="00D16CDA">
        <w:rPr>
          <w:sz w:val="24"/>
          <w:szCs w:val="24"/>
          <w:lang w:eastAsia="de-DE"/>
        </w:rPr>
        <w:t xml:space="preserve"> begrenzt:</w:t>
      </w:r>
    </w:p>
    <w:p w14:paraId="2C274311" w14:textId="32813B87" w:rsidR="006960B0" w:rsidRPr="00D16CDA" w:rsidRDefault="003D2A62" w:rsidP="006960B0">
      <w:pPr>
        <w:numPr>
          <w:ilvl w:val="0"/>
          <w:numId w:val="15"/>
        </w:numPr>
        <w:jc w:val="both"/>
        <w:rPr>
          <w:sz w:val="24"/>
          <w:szCs w:val="24"/>
          <w:lang w:eastAsia="de-DE"/>
        </w:rPr>
      </w:pPr>
      <w:bookmarkStart w:id="35" w:name="_Hlk127364221"/>
      <w:r w:rsidRPr="00D16CDA">
        <w:rPr>
          <w:sz w:val="24"/>
          <w:szCs w:val="24"/>
          <w:lang w:eastAsia="de-DE"/>
        </w:rPr>
        <w:t xml:space="preserve">xx Mio. € für </w:t>
      </w:r>
      <w:bookmarkEnd w:id="35"/>
      <w:r w:rsidR="006960B0" w:rsidRPr="00D16CDA">
        <w:rPr>
          <w:sz w:val="24"/>
          <w:szCs w:val="24"/>
          <w:lang w:eastAsia="de-DE"/>
        </w:rPr>
        <w:t>Staatsanleihen,</w:t>
      </w:r>
    </w:p>
    <w:p w14:paraId="7944A02A" w14:textId="50116717" w:rsidR="006960B0" w:rsidRPr="00D16CDA" w:rsidRDefault="003D2A62" w:rsidP="006960B0">
      <w:pPr>
        <w:numPr>
          <w:ilvl w:val="0"/>
          <w:numId w:val="15"/>
        </w:numPr>
        <w:jc w:val="both"/>
        <w:rPr>
          <w:sz w:val="24"/>
          <w:szCs w:val="24"/>
          <w:lang w:eastAsia="de-DE"/>
        </w:rPr>
      </w:pPr>
      <w:r w:rsidRPr="00D16CDA">
        <w:rPr>
          <w:sz w:val="24"/>
          <w:szCs w:val="24"/>
          <w:lang w:eastAsia="de-DE"/>
        </w:rPr>
        <w:t xml:space="preserve">xx Mio. € für </w:t>
      </w:r>
      <w:r w:rsidR="006960B0" w:rsidRPr="00D16CDA">
        <w:rPr>
          <w:sz w:val="24"/>
          <w:szCs w:val="24"/>
          <w:lang w:eastAsia="de-DE"/>
        </w:rPr>
        <w:t>Pfandbriefe,</w:t>
      </w:r>
    </w:p>
    <w:p w14:paraId="58C165EA" w14:textId="05950893" w:rsidR="006960B0" w:rsidRPr="00D16CDA" w:rsidRDefault="003D2A62" w:rsidP="006960B0">
      <w:pPr>
        <w:numPr>
          <w:ilvl w:val="0"/>
          <w:numId w:val="15"/>
        </w:numPr>
        <w:jc w:val="both"/>
        <w:rPr>
          <w:sz w:val="24"/>
          <w:szCs w:val="24"/>
          <w:lang w:eastAsia="de-DE"/>
        </w:rPr>
      </w:pPr>
      <w:r w:rsidRPr="00D16CDA">
        <w:rPr>
          <w:sz w:val="24"/>
          <w:szCs w:val="24"/>
          <w:lang w:eastAsia="de-DE"/>
        </w:rPr>
        <w:t xml:space="preserve">xx Mio. € für </w:t>
      </w:r>
      <w:proofErr w:type="spellStart"/>
      <w:r w:rsidR="006960B0" w:rsidRPr="00D16CDA">
        <w:rPr>
          <w:sz w:val="24"/>
          <w:szCs w:val="24"/>
          <w:lang w:eastAsia="de-DE"/>
        </w:rPr>
        <w:t>Covered</w:t>
      </w:r>
      <w:proofErr w:type="spellEnd"/>
      <w:r w:rsidR="006960B0" w:rsidRPr="00D16CDA">
        <w:rPr>
          <w:sz w:val="24"/>
          <w:szCs w:val="24"/>
          <w:lang w:eastAsia="de-DE"/>
        </w:rPr>
        <w:t xml:space="preserve"> Bonds,</w:t>
      </w:r>
    </w:p>
    <w:p w14:paraId="0E6FA930" w14:textId="13CF02E8" w:rsidR="006960B0" w:rsidRPr="00D16CDA" w:rsidRDefault="003D2A62" w:rsidP="006960B0">
      <w:pPr>
        <w:numPr>
          <w:ilvl w:val="0"/>
          <w:numId w:val="15"/>
        </w:numPr>
        <w:jc w:val="both"/>
        <w:rPr>
          <w:sz w:val="24"/>
          <w:szCs w:val="24"/>
          <w:lang w:eastAsia="de-DE"/>
        </w:rPr>
      </w:pPr>
      <w:r w:rsidRPr="00D16CDA">
        <w:rPr>
          <w:sz w:val="24"/>
          <w:szCs w:val="24"/>
          <w:lang w:eastAsia="de-DE"/>
        </w:rPr>
        <w:t xml:space="preserve">xx Mio. € für </w:t>
      </w:r>
      <w:r w:rsidR="006960B0" w:rsidRPr="00D16CDA">
        <w:rPr>
          <w:sz w:val="24"/>
          <w:szCs w:val="24"/>
          <w:lang w:eastAsia="de-DE"/>
        </w:rPr>
        <w:t>Bankschuldverschreibungen,</w:t>
      </w:r>
    </w:p>
    <w:p w14:paraId="6CBA4E7B" w14:textId="23442418" w:rsidR="006960B0" w:rsidRPr="00D16CDA" w:rsidRDefault="006960B0" w:rsidP="006960B0">
      <w:pPr>
        <w:numPr>
          <w:ilvl w:val="0"/>
          <w:numId w:val="15"/>
        </w:numPr>
        <w:jc w:val="both"/>
        <w:rPr>
          <w:sz w:val="24"/>
          <w:szCs w:val="24"/>
          <w:lang w:eastAsia="de-DE"/>
        </w:rPr>
      </w:pPr>
      <w:r w:rsidRPr="00D16CDA">
        <w:rPr>
          <w:sz w:val="24"/>
          <w:szCs w:val="24"/>
          <w:lang w:eastAsia="de-DE"/>
        </w:rPr>
        <w:lastRenderedPageBreak/>
        <w:t>…..</w:t>
      </w:r>
      <w:r w:rsidR="000C6568" w:rsidRPr="00D16CDA">
        <w:rPr>
          <w:sz w:val="24"/>
          <w:szCs w:val="24"/>
          <w:lang w:eastAsia="de-DE"/>
        </w:rPr>
        <w:t>]</w:t>
      </w:r>
    </w:p>
    <w:p w14:paraId="65B93954" w14:textId="5E0C34E2" w:rsidR="006960B0" w:rsidRPr="00D16CDA" w:rsidRDefault="00176E9D" w:rsidP="006960B0">
      <w:pPr>
        <w:rPr>
          <w:sz w:val="24"/>
          <w:szCs w:val="24"/>
          <w:lang w:eastAsia="de-DE"/>
        </w:rPr>
      </w:pPr>
      <w:proofErr w:type="spellStart"/>
      <w:r w:rsidRPr="00D16CDA">
        <w:rPr>
          <w:sz w:val="24"/>
          <w:szCs w:val="24"/>
          <w:lang w:eastAsia="de-DE"/>
        </w:rPr>
        <w:t>Kontrahentenlimit</w:t>
      </w:r>
      <w:proofErr w:type="spellEnd"/>
      <w:r w:rsidRPr="00D16CDA">
        <w:rPr>
          <w:sz w:val="24"/>
          <w:szCs w:val="24"/>
          <w:lang w:eastAsia="de-DE"/>
        </w:rPr>
        <w:t>:</w:t>
      </w:r>
    </w:p>
    <w:p w14:paraId="55C57A56" w14:textId="1E55189C" w:rsidR="00176E9D" w:rsidRPr="00D16CDA" w:rsidRDefault="00176E9D" w:rsidP="006960B0">
      <w:pPr>
        <w:rPr>
          <w:sz w:val="24"/>
          <w:szCs w:val="24"/>
          <w:lang w:eastAsia="de-DE"/>
        </w:rPr>
      </w:pPr>
      <w:r w:rsidRPr="00D16CDA">
        <w:rPr>
          <w:sz w:val="24"/>
          <w:szCs w:val="24"/>
          <w:lang w:eastAsia="de-DE"/>
        </w:rPr>
        <w:t xml:space="preserve">Für </w:t>
      </w:r>
      <w:proofErr w:type="spellStart"/>
      <w:r w:rsidRPr="00D16CDA">
        <w:rPr>
          <w:sz w:val="24"/>
          <w:szCs w:val="24"/>
          <w:lang w:eastAsia="de-DE"/>
        </w:rPr>
        <w:t>Repogeschäfte</w:t>
      </w:r>
      <w:proofErr w:type="spellEnd"/>
      <w:r w:rsidRPr="00D16CDA">
        <w:rPr>
          <w:sz w:val="24"/>
          <w:szCs w:val="24"/>
          <w:lang w:eastAsia="de-DE"/>
        </w:rPr>
        <w:t xml:space="preserve"> sind die positiven Marktwertveränderungen während der Laufzeit des Geschäftes auf das </w:t>
      </w:r>
      <w:proofErr w:type="spellStart"/>
      <w:r w:rsidRPr="00D16CDA">
        <w:rPr>
          <w:sz w:val="24"/>
          <w:szCs w:val="24"/>
          <w:lang w:eastAsia="de-DE"/>
        </w:rPr>
        <w:t>Kontrahentenlimit</w:t>
      </w:r>
      <w:proofErr w:type="spellEnd"/>
      <w:r w:rsidRPr="00D16CDA">
        <w:rPr>
          <w:sz w:val="24"/>
          <w:szCs w:val="24"/>
          <w:lang w:eastAsia="de-DE"/>
        </w:rPr>
        <w:t xml:space="preserve"> angerechnet (wenn der Kontrahent die DZ BANK ist, kann das </w:t>
      </w:r>
      <w:proofErr w:type="spellStart"/>
      <w:r w:rsidRPr="00D16CDA">
        <w:rPr>
          <w:sz w:val="24"/>
          <w:szCs w:val="24"/>
          <w:lang w:eastAsia="de-DE"/>
        </w:rPr>
        <w:t>Kontrahentenlimit</w:t>
      </w:r>
      <w:proofErr w:type="spellEnd"/>
      <w:r w:rsidRPr="00D16CDA">
        <w:rPr>
          <w:sz w:val="24"/>
          <w:szCs w:val="24"/>
          <w:lang w:eastAsia="de-DE"/>
        </w:rPr>
        <w:t xml:space="preserve"> in die Globallinie integriert sein oder als </w:t>
      </w:r>
      <w:proofErr w:type="spellStart"/>
      <w:r w:rsidRPr="00D16CDA">
        <w:rPr>
          <w:sz w:val="24"/>
          <w:szCs w:val="24"/>
          <w:lang w:eastAsia="de-DE"/>
        </w:rPr>
        <w:t>Sublimit</w:t>
      </w:r>
      <w:proofErr w:type="spellEnd"/>
      <w:r w:rsidRPr="00D16CDA">
        <w:rPr>
          <w:sz w:val="24"/>
          <w:szCs w:val="24"/>
          <w:lang w:eastAsia="de-DE"/>
        </w:rPr>
        <w:t xml:space="preserve"> „</w:t>
      </w:r>
      <w:proofErr w:type="spellStart"/>
      <w:r w:rsidRPr="00D16CDA">
        <w:rPr>
          <w:sz w:val="24"/>
          <w:szCs w:val="24"/>
          <w:lang w:eastAsia="de-DE"/>
        </w:rPr>
        <w:t>Kontrahentenlimit</w:t>
      </w:r>
      <w:proofErr w:type="spellEnd"/>
      <w:r w:rsidRPr="00D16CDA">
        <w:rPr>
          <w:sz w:val="24"/>
          <w:szCs w:val="24"/>
          <w:lang w:eastAsia="de-DE"/>
        </w:rPr>
        <w:t>“ von der Globallinie abgezweigt werden).</w:t>
      </w:r>
    </w:p>
    <w:p w14:paraId="0D365B77" w14:textId="1644C352" w:rsidR="001443D9" w:rsidRPr="00D16CDA" w:rsidRDefault="001443D9" w:rsidP="006960B0">
      <w:pPr>
        <w:rPr>
          <w:sz w:val="24"/>
          <w:szCs w:val="24"/>
          <w:lang w:eastAsia="de-DE"/>
        </w:rPr>
      </w:pPr>
      <w:r w:rsidRPr="00D16CDA">
        <w:rPr>
          <w:sz w:val="24"/>
          <w:szCs w:val="24"/>
          <w:lang w:eastAsia="de-DE"/>
        </w:rPr>
        <w:t>Marktpreisrisikolimit (Teilrisikolimit für Zinsänderungsrisiken):</w:t>
      </w:r>
      <w:r w:rsidRPr="00D16CDA">
        <w:rPr>
          <w:sz w:val="24"/>
          <w:szCs w:val="24"/>
          <w:lang w:eastAsia="de-DE"/>
        </w:rPr>
        <w:br/>
        <w:t xml:space="preserve">Die im </w:t>
      </w:r>
      <w:proofErr w:type="spellStart"/>
      <w:r w:rsidRPr="00D16CDA">
        <w:rPr>
          <w:sz w:val="24"/>
          <w:szCs w:val="24"/>
          <w:lang w:eastAsia="de-DE"/>
        </w:rPr>
        <w:t>Repogeschäft</w:t>
      </w:r>
      <w:proofErr w:type="spellEnd"/>
      <w:r w:rsidRPr="00D16CDA">
        <w:rPr>
          <w:sz w:val="24"/>
          <w:szCs w:val="24"/>
          <w:lang w:eastAsia="de-DE"/>
        </w:rPr>
        <w:t xml:space="preserve"> übertragenen Wertpapiere werden bei Risikoberechnung und der </w:t>
      </w:r>
      <w:proofErr w:type="spellStart"/>
      <w:r w:rsidRPr="00D16CDA">
        <w:rPr>
          <w:sz w:val="24"/>
          <w:szCs w:val="24"/>
          <w:lang w:eastAsia="de-DE"/>
        </w:rPr>
        <w:t>Limitauslastung</w:t>
      </w:r>
      <w:proofErr w:type="spellEnd"/>
      <w:r w:rsidRPr="00D16CDA">
        <w:rPr>
          <w:sz w:val="24"/>
          <w:szCs w:val="24"/>
          <w:lang w:eastAsia="de-DE"/>
        </w:rPr>
        <w:t xml:space="preserve"> auf Portfolioebene weiterhin beim Pensionsgeber berücksichtigt.</w:t>
      </w:r>
    </w:p>
    <w:p w14:paraId="534BCE3C" w14:textId="77777777" w:rsidR="005045B5" w:rsidRPr="005045B5" w:rsidRDefault="005045B5" w:rsidP="006960B0">
      <w:pPr>
        <w:rPr>
          <w:lang w:eastAsia="de-DE"/>
        </w:rPr>
      </w:pPr>
    </w:p>
    <w:p w14:paraId="6C99A3AB" w14:textId="69F5185C" w:rsidR="00F14614" w:rsidRPr="003179F8" w:rsidRDefault="00F14614" w:rsidP="003179F8">
      <w:pPr>
        <w:pStyle w:val="berschrift2"/>
        <w:spacing w:before="0" w:after="100"/>
        <w:jc w:val="both"/>
        <w:rPr>
          <w:rFonts w:eastAsia="Times New Roman"/>
          <w:snapToGrid w:val="0"/>
          <w:sz w:val="24"/>
          <w:szCs w:val="24"/>
          <w:lang w:eastAsia="de-DE"/>
        </w:rPr>
      </w:pPr>
      <w:bookmarkStart w:id="36" w:name="_Toc172294755"/>
      <w:r w:rsidRPr="003179F8">
        <w:rPr>
          <w:rFonts w:eastAsia="Times New Roman"/>
          <w:snapToGrid w:val="0"/>
          <w:sz w:val="24"/>
          <w:szCs w:val="24"/>
          <w:lang w:eastAsia="de-DE"/>
        </w:rPr>
        <w:t>Reporting</w:t>
      </w:r>
      <w:bookmarkEnd w:id="36"/>
    </w:p>
    <w:p w14:paraId="451ED983"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Die </w:t>
      </w:r>
      <w:proofErr w:type="spellStart"/>
      <w:r w:rsidRPr="003179F8">
        <w:rPr>
          <w:rFonts w:eastAsia="Times New Roman" w:cstheme="minorHAnsi"/>
          <w:bCs/>
          <w:snapToGrid w:val="0"/>
          <w:color w:val="auto"/>
          <w:sz w:val="24"/>
          <w:szCs w:val="24"/>
          <w:lang w:eastAsia="de-DE"/>
        </w:rPr>
        <w:t>Repogeschäfte</w:t>
      </w:r>
      <w:proofErr w:type="spellEnd"/>
      <w:r w:rsidRPr="003179F8">
        <w:rPr>
          <w:rFonts w:eastAsia="Times New Roman" w:cstheme="minorHAnsi"/>
          <w:bCs/>
          <w:snapToGrid w:val="0"/>
          <w:color w:val="auto"/>
          <w:sz w:val="24"/>
          <w:szCs w:val="24"/>
          <w:lang w:eastAsia="de-DE"/>
        </w:rPr>
        <w:t xml:space="preserve"> werden bis zur Fälligkeit in die tägliche/ wöchentliche/ monatliche Risikoermittlung und das Berichtswesen des Gesamt-Portfolios einbezogen.</w:t>
      </w:r>
    </w:p>
    <w:p w14:paraId="4B8B5633"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Die Berichterstattung über den Ausnutzungsgrad der festgelegten </w:t>
      </w:r>
      <w:proofErr w:type="spellStart"/>
      <w:r w:rsidRPr="003179F8">
        <w:rPr>
          <w:rFonts w:eastAsia="Times New Roman" w:cstheme="minorHAnsi"/>
          <w:bCs/>
          <w:snapToGrid w:val="0"/>
          <w:color w:val="auto"/>
          <w:sz w:val="24"/>
          <w:szCs w:val="24"/>
          <w:lang w:eastAsia="de-DE"/>
        </w:rPr>
        <w:t>Strukturlimite</w:t>
      </w:r>
      <w:proofErr w:type="spellEnd"/>
      <w:r w:rsidRPr="003179F8">
        <w:rPr>
          <w:rFonts w:eastAsia="Times New Roman" w:cstheme="minorHAnsi"/>
          <w:bCs/>
          <w:snapToGrid w:val="0"/>
          <w:color w:val="auto"/>
          <w:sz w:val="24"/>
          <w:szCs w:val="24"/>
          <w:lang w:eastAsia="de-DE"/>
        </w:rPr>
        <w:t xml:space="preserve"> erfolgt [monatlich/quartalsweise] im Rahmen der Berichterstattung an den Gesamtvorstand.</w:t>
      </w:r>
    </w:p>
    <w:p w14:paraId="040AE1F2" w14:textId="77777777" w:rsidR="004B55F2" w:rsidRPr="003179F8" w:rsidRDefault="004B55F2" w:rsidP="003179F8">
      <w:pPr>
        <w:jc w:val="both"/>
        <w:rPr>
          <w:sz w:val="24"/>
          <w:szCs w:val="24"/>
          <w:lang w:eastAsia="de-DE"/>
        </w:rPr>
      </w:pPr>
    </w:p>
    <w:p w14:paraId="5D28BB73" w14:textId="239D121F" w:rsidR="00F14614" w:rsidRPr="003179F8" w:rsidRDefault="00F14614" w:rsidP="003179F8">
      <w:pPr>
        <w:pStyle w:val="berschrift1"/>
        <w:spacing w:before="0" w:after="100"/>
        <w:jc w:val="both"/>
        <w:rPr>
          <w:rFonts w:eastAsia="Times New Roman"/>
          <w:snapToGrid w:val="0"/>
          <w:sz w:val="24"/>
          <w:szCs w:val="24"/>
          <w:lang w:eastAsia="de-DE"/>
        </w:rPr>
      </w:pPr>
      <w:bookmarkStart w:id="37" w:name="_Toc172294756"/>
      <w:r w:rsidRPr="003179F8">
        <w:rPr>
          <w:rFonts w:eastAsia="Times New Roman"/>
          <w:snapToGrid w:val="0"/>
          <w:sz w:val="24"/>
          <w:szCs w:val="24"/>
          <w:lang w:eastAsia="de-DE"/>
        </w:rPr>
        <w:t>Rechnungslegung / handelsrechtliche Handhabung</w:t>
      </w:r>
      <w:bookmarkEnd w:id="37"/>
    </w:p>
    <w:p w14:paraId="7EAC0D01" w14:textId="2FC6A6B0" w:rsidR="00F14614" w:rsidRPr="003179F8" w:rsidRDefault="00F14614" w:rsidP="003179F8">
      <w:pPr>
        <w:pStyle w:val="berschrift2"/>
        <w:spacing w:before="0" w:after="100"/>
        <w:jc w:val="both"/>
        <w:rPr>
          <w:rFonts w:eastAsia="Times New Roman"/>
          <w:snapToGrid w:val="0"/>
          <w:sz w:val="24"/>
          <w:szCs w:val="24"/>
          <w:lang w:eastAsia="de-DE"/>
        </w:rPr>
      </w:pPr>
      <w:bookmarkStart w:id="38" w:name="_Toc172294757"/>
      <w:r w:rsidRPr="003179F8">
        <w:rPr>
          <w:rFonts w:eastAsia="Times New Roman"/>
          <w:snapToGrid w:val="0"/>
          <w:sz w:val="24"/>
          <w:szCs w:val="24"/>
          <w:lang w:eastAsia="de-DE"/>
        </w:rPr>
        <w:t>Bilanzausweis und Bewertung</w:t>
      </w:r>
      <w:bookmarkEnd w:id="38"/>
    </w:p>
    <w:p w14:paraId="5B6D84A0" w14:textId="77777777"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Die Bilanzierung von echten Pensionsgeschäften ist in § 340b Abs. 4 HGB geregelt.</w:t>
      </w:r>
    </w:p>
    <w:p w14:paraId="1385C6FE" w14:textId="31B7D6C9"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In der Praxis bemisst sich der Hingabebetrag</w:t>
      </w:r>
      <w:r w:rsidR="00C25D18">
        <w:rPr>
          <w:rFonts w:eastAsia="Times New Roman" w:cstheme="minorHAnsi"/>
          <w:bCs/>
          <w:snapToGrid w:val="0"/>
          <w:color w:val="auto"/>
          <w:sz w:val="24"/>
          <w:szCs w:val="24"/>
          <w:lang w:eastAsia="de-DE"/>
        </w:rPr>
        <w:t xml:space="preserve"> (</w:t>
      </w:r>
      <w:r w:rsidR="00CB7B51" w:rsidRPr="007226E1">
        <w:rPr>
          <w:rFonts w:eastAsia="Times New Roman" w:cstheme="minorHAnsi"/>
          <w:bCs/>
          <w:snapToGrid w:val="0"/>
          <w:color w:val="auto"/>
          <w:sz w:val="24"/>
          <w:szCs w:val="24"/>
          <w:lang w:eastAsia="de-DE"/>
        </w:rPr>
        <w:t>Betrag aus Prozessschritt 1b im Beispielbild</w:t>
      </w:r>
      <w:r w:rsidR="006E0C4C">
        <w:rPr>
          <w:rFonts w:eastAsia="Times New Roman" w:cstheme="minorHAnsi"/>
          <w:bCs/>
          <w:snapToGrid w:val="0"/>
          <w:color w:val="auto"/>
          <w:sz w:val="24"/>
          <w:szCs w:val="24"/>
          <w:lang w:eastAsia="de-DE"/>
        </w:rPr>
        <w:t xml:space="preserve"> in Kapitel 1.1</w:t>
      </w:r>
      <w:r w:rsidR="00CB7B51" w:rsidRPr="007226E1">
        <w:rPr>
          <w:rFonts w:eastAsia="Times New Roman" w:cstheme="minorHAnsi"/>
          <w:bCs/>
          <w:snapToGrid w:val="0"/>
          <w:color w:val="auto"/>
          <w:sz w:val="24"/>
          <w:szCs w:val="24"/>
          <w:lang w:eastAsia="de-DE"/>
        </w:rPr>
        <w:t>)</w:t>
      </w:r>
      <w:r>
        <w:rPr>
          <w:rFonts w:eastAsia="Times New Roman" w:cstheme="minorHAnsi"/>
          <w:bCs/>
          <w:snapToGrid w:val="0"/>
          <w:color w:val="auto"/>
          <w:sz w:val="24"/>
          <w:szCs w:val="24"/>
          <w:lang w:eastAsia="de-DE"/>
        </w:rPr>
        <w:t xml:space="preserve">, den der </w:t>
      </w:r>
      <w:r w:rsidR="005B1326">
        <w:rPr>
          <w:rFonts w:eastAsia="Times New Roman" w:cstheme="minorHAnsi"/>
          <w:bCs/>
          <w:snapToGrid w:val="0"/>
          <w:color w:val="auto"/>
          <w:sz w:val="24"/>
          <w:szCs w:val="24"/>
          <w:lang w:eastAsia="de-DE"/>
        </w:rPr>
        <w:t xml:space="preserve">Pensionsnehmer </w:t>
      </w:r>
      <w:r>
        <w:rPr>
          <w:rFonts w:eastAsia="Times New Roman" w:cstheme="minorHAnsi"/>
          <w:bCs/>
          <w:snapToGrid w:val="0"/>
          <w:color w:val="auto"/>
          <w:sz w:val="24"/>
          <w:szCs w:val="24"/>
          <w:lang w:eastAsia="de-DE"/>
        </w:rPr>
        <w:t xml:space="preserve">zu Beginn des Repos an den </w:t>
      </w:r>
      <w:r w:rsidR="005B1326">
        <w:rPr>
          <w:rFonts w:eastAsia="Times New Roman" w:cstheme="minorHAnsi"/>
          <w:bCs/>
          <w:snapToGrid w:val="0"/>
          <w:color w:val="auto"/>
          <w:sz w:val="24"/>
          <w:szCs w:val="24"/>
          <w:lang w:eastAsia="de-DE"/>
        </w:rPr>
        <w:t xml:space="preserve">Pensionsgeber </w:t>
      </w:r>
      <w:r>
        <w:rPr>
          <w:rFonts w:eastAsia="Times New Roman" w:cstheme="minorHAnsi"/>
          <w:bCs/>
          <w:snapToGrid w:val="0"/>
          <w:color w:val="auto"/>
          <w:sz w:val="24"/>
          <w:szCs w:val="24"/>
          <w:lang w:eastAsia="de-DE"/>
        </w:rPr>
        <w:t>überträgt, am Marktwert der entsprechenden Wertpapiere inkl. Stückzinsen (</w:t>
      </w:r>
      <w:proofErr w:type="spellStart"/>
      <w:r>
        <w:rPr>
          <w:rFonts w:eastAsia="Times New Roman" w:cstheme="minorHAnsi"/>
          <w:bCs/>
          <w:snapToGrid w:val="0"/>
          <w:color w:val="auto"/>
          <w:sz w:val="24"/>
          <w:szCs w:val="24"/>
          <w:lang w:eastAsia="de-DE"/>
        </w:rPr>
        <w:t>dirty</w:t>
      </w:r>
      <w:proofErr w:type="spellEnd"/>
      <w:r>
        <w:rPr>
          <w:rFonts w:eastAsia="Times New Roman" w:cstheme="minorHAnsi"/>
          <w:bCs/>
          <w:snapToGrid w:val="0"/>
          <w:color w:val="auto"/>
          <w:sz w:val="24"/>
          <w:szCs w:val="24"/>
          <w:lang w:eastAsia="de-DE"/>
        </w:rPr>
        <w:t xml:space="preserve"> </w:t>
      </w:r>
      <w:proofErr w:type="spellStart"/>
      <w:r>
        <w:rPr>
          <w:rFonts w:eastAsia="Times New Roman" w:cstheme="minorHAnsi"/>
          <w:bCs/>
          <w:snapToGrid w:val="0"/>
          <w:color w:val="auto"/>
          <w:sz w:val="24"/>
          <w:szCs w:val="24"/>
          <w:lang w:eastAsia="de-DE"/>
        </w:rPr>
        <w:t>price</w:t>
      </w:r>
      <w:proofErr w:type="spellEnd"/>
      <w:r>
        <w:rPr>
          <w:rFonts w:eastAsia="Times New Roman" w:cstheme="minorHAnsi"/>
          <w:bCs/>
          <w:snapToGrid w:val="0"/>
          <w:color w:val="auto"/>
          <w:sz w:val="24"/>
          <w:szCs w:val="24"/>
          <w:lang w:eastAsia="de-DE"/>
        </w:rPr>
        <w:t>). Dieser Betrag stellt die Bemessungsgrundlage für die Verzinsung mit dem Repo-Zinssatz dar. Zum Ende der Repo-Laufzeit erhält der Pensionsnehmer den Rücknahmebetrag bestehend aus Hingabebetrag zuzüglich der Repo-Zinsen für die gesamte Laufzeit</w:t>
      </w:r>
      <w:r w:rsidR="00CB7B51">
        <w:rPr>
          <w:rFonts w:eastAsia="Times New Roman" w:cstheme="minorHAnsi"/>
          <w:bCs/>
          <w:snapToGrid w:val="0"/>
          <w:color w:val="auto"/>
          <w:sz w:val="24"/>
          <w:szCs w:val="24"/>
          <w:lang w:eastAsia="de-DE"/>
        </w:rPr>
        <w:t xml:space="preserve"> </w:t>
      </w:r>
      <w:r w:rsidR="00CB7B51" w:rsidRPr="00C92930">
        <w:rPr>
          <w:rFonts w:eastAsia="Times New Roman" w:cstheme="minorHAnsi"/>
          <w:bCs/>
          <w:snapToGrid w:val="0"/>
          <w:color w:val="auto"/>
          <w:sz w:val="24"/>
          <w:szCs w:val="24"/>
          <w:lang w:eastAsia="de-DE"/>
        </w:rPr>
        <w:t>(Prozessschritt 2b)</w:t>
      </w:r>
      <w:r>
        <w:rPr>
          <w:rFonts w:eastAsia="Times New Roman" w:cstheme="minorHAnsi"/>
          <w:bCs/>
          <w:snapToGrid w:val="0"/>
          <w:color w:val="auto"/>
          <w:sz w:val="24"/>
          <w:szCs w:val="24"/>
          <w:lang w:eastAsia="de-DE"/>
        </w:rPr>
        <w:t>. Der Unterschied zwischen Hingabe- und Rücknahmebetrag entspricht also den Repo-Zinsen, sodass, bei einem positiven Repo-Zinssatz, der Rücknahmebetrag den Hingabebetrag übersteigt</w:t>
      </w:r>
      <w:r w:rsidR="00C25D18">
        <w:rPr>
          <w:rFonts w:eastAsia="Times New Roman" w:cstheme="minorHAnsi"/>
          <w:bCs/>
          <w:snapToGrid w:val="0"/>
          <w:color w:val="auto"/>
          <w:sz w:val="24"/>
          <w:szCs w:val="24"/>
          <w:lang w:eastAsia="de-DE"/>
        </w:rPr>
        <w:t>.</w:t>
      </w:r>
      <w:r>
        <w:rPr>
          <w:rStyle w:val="Funotenzeichen"/>
          <w:rFonts w:eastAsia="Times New Roman" w:cstheme="minorHAnsi"/>
          <w:bCs/>
          <w:snapToGrid w:val="0"/>
          <w:sz w:val="24"/>
          <w:szCs w:val="24"/>
          <w:lang w:eastAsia="de-DE"/>
        </w:rPr>
        <w:footnoteReference w:id="3"/>
      </w:r>
    </w:p>
    <w:p w14:paraId="0E2FC216" w14:textId="77777777"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Der Unterschiedsbetrag ist über die Laufzeit des Pensionsgeschäfts zu verteilen. Es werden zwei zulässige Möglichkeiten der bilanziellen Abbildung unterschieden</w:t>
      </w:r>
      <w:r>
        <w:rPr>
          <w:rStyle w:val="Funotenzeichen"/>
          <w:rFonts w:eastAsia="Times New Roman" w:cstheme="minorHAnsi"/>
          <w:bCs/>
          <w:snapToGrid w:val="0"/>
          <w:sz w:val="24"/>
          <w:szCs w:val="24"/>
          <w:lang w:eastAsia="de-DE"/>
        </w:rPr>
        <w:footnoteReference w:id="4"/>
      </w:r>
      <w:r>
        <w:rPr>
          <w:rFonts w:eastAsia="Times New Roman" w:cstheme="minorHAnsi"/>
          <w:bCs/>
          <w:snapToGrid w:val="0"/>
          <w:color w:val="auto"/>
          <w:sz w:val="24"/>
          <w:szCs w:val="24"/>
          <w:lang w:eastAsia="de-DE"/>
        </w:rPr>
        <w:t>:</w:t>
      </w:r>
    </w:p>
    <w:p w14:paraId="5935883A" w14:textId="271827D8" w:rsidR="00661E87" w:rsidRDefault="00661E87" w:rsidP="00661E87">
      <w:pPr>
        <w:pStyle w:val="Listenabsatz"/>
        <w:numPr>
          <w:ilvl w:val="0"/>
          <w:numId w:val="20"/>
        </w:numPr>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Nettomethode: Ansatz in Höhe des Hingabebetrags</w:t>
      </w:r>
      <w:r w:rsidR="00CB7B51">
        <w:rPr>
          <w:rFonts w:eastAsia="Times New Roman" w:cstheme="minorHAnsi"/>
          <w:bCs/>
          <w:snapToGrid w:val="0"/>
          <w:color w:val="auto"/>
          <w:sz w:val="24"/>
          <w:szCs w:val="24"/>
          <w:lang w:eastAsia="de-DE"/>
        </w:rPr>
        <w:t xml:space="preserve"> </w:t>
      </w:r>
      <w:r w:rsidR="00CB7B51" w:rsidRPr="001E0994">
        <w:rPr>
          <w:rFonts w:eastAsia="Times New Roman" w:cstheme="minorHAnsi"/>
          <w:bCs/>
          <w:snapToGrid w:val="0"/>
          <w:color w:val="auto"/>
          <w:sz w:val="24"/>
          <w:szCs w:val="24"/>
          <w:lang w:eastAsia="de-DE"/>
        </w:rPr>
        <w:t>(entspricht dem in Schritt 1b übertragenen Cash-Betrag)</w:t>
      </w:r>
    </w:p>
    <w:p w14:paraId="38C895B7" w14:textId="46336FC4" w:rsidR="00661E87" w:rsidRPr="00661E87" w:rsidRDefault="00661E87" w:rsidP="00661E87">
      <w:pPr>
        <w:pStyle w:val="Listenabsatz"/>
        <w:numPr>
          <w:ilvl w:val="0"/>
          <w:numId w:val="20"/>
        </w:numPr>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Bruttomethode: Ansatz in Höhe des Rücknahmebetrags</w:t>
      </w:r>
      <w:r w:rsidR="00CB7B51">
        <w:rPr>
          <w:rFonts w:eastAsia="Times New Roman" w:cstheme="minorHAnsi"/>
          <w:bCs/>
          <w:snapToGrid w:val="0"/>
          <w:color w:val="auto"/>
          <w:sz w:val="24"/>
          <w:szCs w:val="24"/>
          <w:lang w:eastAsia="de-DE"/>
        </w:rPr>
        <w:t xml:space="preserve"> </w:t>
      </w:r>
      <w:r w:rsidR="00CB7B51" w:rsidRPr="001E0994">
        <w:rPr>
          <w:rFonts w:eastAsia="Times New Roman" w:cstheme="minorHAnsi"/>
          <w:bCs/>
          <w:snapToGrid w:val="0"/>
          <w:color w:val="auto"/>
          <w:sz w:val="24"/>
          <w:szCs w:val="24"/>
          <w:lang w:eastAsia="de-DE"/>
        </w:rPr>
        <w:t xml:space="preserve">(entspricht der in Schritt 2b übertragenen Summe aus Hingabebetrag und </w:t>
      </w:r>
      <w:proofErr w:type="spellStart"/>
      <w:r w:rsidR="00CB7B51" w:rsidRPr="001E0994">
        <w:rPr>
          <w:rFonts w:eastAsia="Times New Roman" w:cstheme="minorHAnsi"/>
          <w:bCs/>
          <w:snapToGrid w:val="0"/>
          <w:color w:val="auto"/>
          <w:sz w:val="24"/>
          <w:szCs w:val="24"/>
          <w:lang w:eastAsia="de-DE"/>
        </w:rPr>
        <w:t>Repozinsen</w:t>
      </w:r>
      <w:proofErr w:type="spellEnd"/>
      <w:r w:rsidR="00CB7B51" w:rsidRPr="001E0994">
        <w:rPr>
          <w:rFonts w:eastAsia="Times New Roman" w:cstheme="minorHAnsi"/>
          <w:bCs/>
          <w:snapToGrid w:val="0"/>
          <w:color w:val="auto"/>
          <w:sz w:val="24"/>
          <w:szCs w:val="24"/>
          <w:lang w:eastAsia="de-DE"/>
        </w:rPr>
        <w:t>)</w:t>
      </w:r>
      <w:r w:rsidR="00C25D18">
        <w:rPr>
          <w:rFonts w:eastAsia="Times New Roman" w:cstheme="minorHAnsi"/>
          <w:bCs/>
          <w:snapToGrid w:val="0"/>
          <w:color w:val="auto"/>
          <w:sz w:val="24"/>
          <w:szCs w:val="24"/>
          <w:lang w:eastAsia="de-DE"/>
        </w:rPr>
        <w:t xml:space="preserve"> </w:t>
      </w:r>
      <w:r>
        <w:rPr>
          <w:rFonts w:eastAsia="Times New Roman" w:cstheme="minorHAnsi"/>
          <w:bCs/>
          <w:snapToGrid w:val="0"/>
          <w:color w:val="auto"/>
          <w:sz w:val="24"/>
          <w:szCs w:val="24"/>
          <w:lang w:eastAsia="de-DE"/>
        </w:rPr>
        <w:t>und Bildung eines Rechnungsabgrenzungsposten für den Unterschiedsbetrag</w:t>
      </w:r>
      <w:r w:rsidR="00C25D18">
        <w:rPr>
          <w:rFonts w:eastAsia="Times New Roman" w:cstheme="minorHAnsi"/>
          <w:bCs/>
          <w:snapToGrid w:val="0"/>
          <w:color w:val="auto"/>
          <w:sz w:val="24"/>
          <w:szCs w:val="24"/>
          <w:lang w:eastAsia="de-DE"/>
        </w:rPr>
        <w:t xml:space="preserve"> </w:t>
      </w:r>
      <w:r w:rsidR="00CB7B51" w:rsidRPr="001E0994">
        <w:rPr>
          <w:rFonts w:eastAsia="Times New Roman" w:cstheme="minorHAnsi"/>
          <w:bCs/>
          <w:snapToGrid w:val="0"/>
          <w:color w:val="auto"/>
          <w:sz w:val="24"/>
          <w:szCs w:val="24"/>
          <w:lang w:eastAsia="de-DE"/>
        </w:rPr>
        <w:t xml:space="preserve">(Unterschiedsbetrag entspricht den </w:t>
      </w:r>
      <w:proofErr w:type="spellStart"/>
      <w:r w:rsidR="00CB7B51" w:rsidRPr="001E0994">
        <w:rPr>
          <w:rFonts w:eastAsia="Times New Roman" w:cstheme="minorHAnsi"/>
          <w:bCs/>
          <w:snapToGrid w:val="0"/>
          <w:color w:val="auto"/>
          <w:sz w:val="24"/>
          <w:szCs w:val="24"/>
          <w:lang w:eastAsia="de-DE"/>
        </w:rPr>
        <w:t>Repozinsen</w:t>
      </w:r>
      <w:proofErr w:type="spellEnd"/>
      <w:r w:rsidR="00CB7B51" w:rsidRPr="001E0994">
        <w:rPr>
          <w:rFonts w:eastAsia="Times New Roman" w:cstheme="minorHAnsi"/>
          <w:bCs/>
          <w:snapToGrid w:val="0"/>
          <w:color w:val="auto"/>
          <w:sz w:val="24"/>
          <w:szCs w:val="24"/>
          <w:lang w:eastAsia="de-DE"/>
        </w:rPr>
        <w:t xml:space="preserve"> für die gesamte Laufzeit)</w:t>
      </w:r>
    </w:p>
    <w:p w14:paraId="3DF13693" w14:textId="77777777" w:rsidR="00867B63" w:rsidRPr="00CB7B51" w:rsidRDefault="00867B63" w:rsidP="003179F8">
      <w:pPr>
        <w:jc w:val="both"/>
        <w:rPr>
          <w:rFonts w:eastAsia="Times New Roman" w:cstheme="minorHAnsi"/>
          <w:snapToGrid w:val="0"/>
          <w:color w:val="auto"/>
          <w:sz w:val="24"/>
          <w:szCs w:val="24"/>
          <w:lang w:eastAsia="de-DE"/>
        </w:rPr>
      </w:pPr>
    </w:p>
    <w:p w14:paraId="1A787F96" w14:textId="0F570817" w:rsidR="004B55F2" w:rsidRPr="003179F8" w:rsidRDefault="00661E87" w:rsidP="003179F8">
      <w:pPr>
        <w:jc w:val="both"/>
        <w:rPr>
          <w:rFonts w:eastAsia="Times New Roman" w:cstheme="minorHAnsi"/>
          <w:b/>
          <w:snapToGrid w:val="0"/>
          <w:color w:val="auto"/>
          <w:sz w:val="24"/>
          <w:szCs w:val="24"/>
          <w:lang w:eastAsia="de-DE"/>
        </w:rPr>
      </w:pPr>
      <w:r w:rsidRPr="00661E87">
        <w:rPr>
          <w:rFonts w:eastAsia="Times New Roman" w:cstheme="minorHAnsi"/>
          <w:b/>
          <w:snapToGrid w:val="0"/>
          <w:color w:val="auto"/>
          <w:sz w:val="24"/>
          <w:szCs w:val="24"/>
          <w:lang w:eastAsia="de-DE"/>
        </w:rPr>
        <w:t xml:space="preserve">Bilanzierung und Bewertung beim </w:t>
      </w:r>
      <w:r w:rsidR="004B55F2" w:rsidRPr="003179F8">
        <w:rPr>
          <w:rFonts w:eastAsia="Times New Roman" w:cstheme="minorHAnsi"/>
          <w:b/>
          <w:snapToGrid w:val="0"/>
          <w:color w:val="auto"/>
          <w:sz w:val="24"/>
          <w:szCs w:val="24"/>
          <w:lang w:eastAsia="de-DE"/>
        </w:rPr>
        <w:t>Pensionsgeber</w:t>
      </w:r>
    </w:p>
    <w:p w14:paraId="20D9D067" w14:textId="77777777" w:rsidR="00661E87" w:rsidRDefault="00661E87" w:rsidP="00661E87">
      <w:pPr>
        <w:jc w:val="both"/>
        <w:rPr>
          <w:rFonts w:eastAsia="Times New Roman" w:cstheme="minorHAnsi"/>
          <w:bCs/>
          <w:snapToGrid w:val="0"/>
          <w:color w:val="auto"/>
          <w:sz w:val="24"/>
          <w:szCs w:val="24"/>
          <w:u w:val="single"/>
          <w:lang w:eastAsia="de-DE"/>
        </w:rPr>
      </w:pPr>
      <w:r>
        <w:rPr>
          <w:rFonts w:eastAsia="Times New Roman" w:cstheme="minorHAnsi"/>
          <w:bCs/>
          <w:snapToGrid w:val="0"/>
          <w:color w:val="auto"/>
          <w:sz w:val="24"/>
          <w:szCs w:val="24"/>
          <w:u w:val="single"/>
          <w:lang w:eastAsia="de-DE"/>
        </w:rPr>
        <w:t>In Pension gegebene Wertpapiere</w:t>
      </w:r>
    </w:p>
    <w:p w14:paraId="5F1CB630" w14:textId="77777777"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lastRenderedPageBreak/>
        <w:t xml:space="preserve">Der Pensionsgeber (Verkäufer der Wertpapiere, Empfänger des Geldbetrags) bleibt während des Pensionsgeschäfts wirtschaftlicher Eigentümer der übertragenen Wertpapiere. Daher erfolgen Bilanzierung und Bewertung so, als ob kein Pensionsgeschäft erfolgt wäre, weil die Chancen und Risiken der Wertänderung aufgrund der Rücknahmeverpflichtung des Pensionsgebers nicht auf den Pensionsnehmer übergehen. Dies gilt unabhängig davon, ob Veräußerung und Rückerwerb in einem gemeinsamen Vertrag oder zwei getrennten Verträgen vereinbart worden sind. </w:t>
      </w:r>
    </w:p>
    <w:p w14:paraId="6B86472C" w14:textId="77777777" w:rsidR="00661E87" w:rsidRDefault="00661E87" w:rsidP="00661E87">
      <w:pPr>
        <w:jc w:val="both"/>
        <w:rPr>
          <w:rFonts w:eastAsia="Times New Roman" w:cstheme="minorHAnsi"/>
          <w:bCs/>
          <w:snapToGrid w:val="0"/>
          <w:color w:val="auto"/>
          <w:sz w:val="24"/>
          <w:szCs w:val="24"/>
          <w:lang w:eastAsia="de-DE"/>
        </w:rPr>
      </w:pPr>
    </w:p>
    <w:p w14:paraId="196546DE" w14:textId="77777777" w:rsidR="00661E87" w:rsidRDefault="00661E87" w:rsidP="00661E87">
      <w:pPr>
        <w:jc w:val="both"/>
        <w:rPr>
          <w:rFonts w:eastAsia="Times New Roman" w:cstheme="minorHAnsi"/>
          <w:bCs/>
          <w:snapToGrid w:val="0"/>
          <w:color w:val="auto"/>
          <w:sz w:val="24"/>
          <w:szCs w:val="24"/>
          <w:u w:val="single"/>
          <w:lang w:eastAsia="de-DE"/>
        </w:rPr>
      </w:pPr>
      <w:r>
        <w:rPr>
          <w:rFonts w:eastAsia="Times New Roman" w:cstheme="minorHAnsi"/>
          <w:bCs/>
          <w:snapToGrid w:val="0"/>
          <w:color w:val="auto"/>
          <w:sz w:val="24"/>
          <w:szCs w:val="24"/>
          <w:u w:val="single"/>
          <w:lang w:eastAsia="de-DE"/>
        </w:rPr>
        <w:t>Verbindlichkeiten aus Pensionsgeschäften</w:t>
      </w:r>
    </w:p>
    <w:p w14:paraId="5D5C6B11" w14:textId="77777777"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Der Pensionsgeber weist eine Verbindlichkeit gegenüber dem Pensionsnehmer in Passivposten 1 oder 2 aus.</w:t>
      </w:r>
    </w:p>
    <w:p w14:paraId="3D8462C3" w14:textId="77777777"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Bei Anwendung der Bruttomethode erfolgt der Ansatz in Höhe des Rücknahmebetrags. Die Differenz zum Hingabebetrag ist als aktiver Rechnungsabgrenzungsposten auszuweisen, der über die Laufzeit zu verteilen ist.</w:t>
      </w:r>
    </w:p>
    <w:p w14:paraId="1ACDA8C9" w14:textId="77777777"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Bei Anwendung der Nettomethode wird der Hingabebetrag angesetzt, der zum Geschäftsjahresende um den anteiligen Unterschiedsbetrag zwischen Hingabe- und Rücknahmepreis durch Zuschreibung erhöht wird.</w:t>
      </w:r>
    </w:p>
    <w:p w14:paraId="72F57DE2" w14:textId="77777777" w:rsidR="004B55F2" w:rsidRPr="003179F8" w:rsidRDefault="004B55F2" w:rsidP="003179F8">
      <w:pPr>
        <w:jc w:val="both"/>
        <w:rPr>
          <w:sz w:val="24"/>
          <w:szCs w:val="24"/>
          <w:lang w:eastAsia="de-DE"/>
        </w:rPr>
      </w:pPr>
    </w:p>
    <w:p w14:paraId="297BE496" w14:textId="4796E77A" w:rsidR="00F14614" w:rsidRPr="003179F8" w:rsidRDefault="00F14614" w:rsidP="003179F8">
      <w:pPr>
        <w:pStyle w:val="berschrift2"/>
        <w:spacing w:before="0" w:after="100"/>
        <w:jc w:val="both"/>
        <w:rPr>
          <w:rFonts w:eastAsia="Times New Roman"/>
          <w:snapToGrid w:val="0"/>
          <w:sz w:val="24"/>
          <w:szCs w:val="24"/>
          <w:lang w:eastAsia="de-DE"/>
        </w:rPr>
      </w:pPr>
      <w:bookmarkStart w:id="39" w:name="_Toc172294758"/>
      <w:r w:rsidRPr="003179F8">
        <w:rPr>
          <w:rFonts w:eastAsia="Times New Roman"/>
          <w:snapToGrid w:val="0"/>
          <w:sz w:val="24"/>
          <w:szCs w:val="24"/>
          <w:lang w:eastAsia="de-DE"/>
        </w:rPr>
        <w:t>Gewinn- und Verlustrechnung</w:t>
      </w:r>
      <w:bookmarkEnd w:id="39"/>
    </w:p>
    <w:p w14:paraId="2B296DF1" w14:textId="77777777" w:rsidR="00661E87" w:rsidRDefault="00661E87" w:rsidP="00661E87">
      <w:pPr>
        <w:jc w:val="both"/>
        <w:rPr>
          <w:rFonts w:eastAsia="Times New Roman" w:cstheme="minorHAnsi"/>
          <w:bCs/>
          <w:snapToGrid w:val="0"/>
          <w:color w:val="auto"/>
          <w:sz w:val="24"/>
          <w:szCs w:val="24"/>
          <w:u w:val="single"/>
          <w:lang w:eastAsia="de-DE"/>
        </w:rPr>
      </w:pPr>
      <w:r>
        <w:rPr>
          <w:rFonts w:eastAsia="Times New Roman" w:cstheme="minorHAnsi"/>
          <w:bCs/>
          <w:snapToGrid w:val="0"/>
          <w:color w:val="auto"/>
          <w:sz w:val="24"/>
          <w:szCs w:val="24"/>
          <w:u w:val="single"/>
          <w:lang w:eastAsia="de-DE"/>
        </w:rPr>
        <w:t>Erträge aus in Pension gegebenen Wertpapieren</w:t>
      </w:r>
    </w:p>
    <w:p w14:paraId="6F6B8C44" w14:textId="77777777"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 xml:space="preserve">Erträge aus dem Pensionsgegenstand (i.d.R. Zinsen), </w:t>
      </w:r>
      <w:proofErr w:type="gramStart"/>
      <w:r>
        <w:rPr>
          <w:rFonts w:eastAsia="Times New Roman" w:cstheme="minorHAnsi"/>
          <w:bCs/>
          <w:snapToGrid w:val="0"/>
          <w:color w:val="auto"/>
          <w:sz w:val="24"/>
          <w:szCs w:val="24"/>
          <w:lang w:eastAsia="de-DE"/>
        </w:rPr>
        <w:t>die</w:t>
      </w:r>
      <w:proofErr w:type="gramEnd"/>
      <w:r>
        <w:rPr>
          <w:rFonts w:eastAsia="Times New Roman" w:cstheme="minorHAnsi"/>
          <w:bCs/>
          <w:snapToGrid w:val="0"/>
          <w:color w:val="auto"/>
          <w:sz w:val="24"/>
          <w:szCs w:val="24"/>
          <w:lang w:eastAsia="de-DE"/>
        </w:rPr>
        <w:t xml:space="preserve"> während der Repo-Laufzeit gezahlt werden, fließen dem zivilrechtlichen Eigentümer zu, d.h. dem Pensionsnehmer. Diese stehen jedoch regelmäßig dem Pensionsgeber zu. Der den Repos zugrundeliegende Rahmenvertrag für Wertpapierpensionsgeschäfte enthält standardmäßig die Vereinbarung, dass der Pensionsnehmer den Gegenwert der Erträge mit Wertstellung zum Tag der tatsächlichen Zahlung durch den Emittenten an den Pensionsgeber zu zahlen hat („Kompensationszahlung“). </w:t>
      </w:r>
    </w:p>
    <w:p w14:paraId="0BF1051E" w14:textId="3D49D764"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Insofern weist der Pensionsgeber regelmäßig in seiner Gewinn- und Verlustrechnung die auf die in Pension gegebenen Wertpapiere entfallenden Erträge so aus, wie es bei einem ihm unmittelbar aus dem bei ihm bilanzierten Pensionsgegenstand zufließenden Ertrag der F</w:t>
      </w:r>
      <w:r w:rsidR="00FF1253">
        <w:rPr>
          <w:rFonts w:eastAsia="Times New Roman" w:cstheme="minorHAnsi"/>
          <w:bCs/>
          <w:snapToGrid w:val="0"/>
          <w:color w:val="auto"/>
          <w:sz w:val="24"/>
          <w:szCs w:val="24"/>
          <w:lang w:eastAsia="de-DE"/>
        </w:rPr>
        <w:t>a</w:t>
      </w:r>
      <w:r>
        <w:rPr>
          <w:rFonts w:eastAsia="Times New Roman" w:cstheme="minorHAnsi"/>
          <w:bCs/>
          <w:snapToGrid w:val="0"/>
          <w:color w:val="auto"/>
          <w:sz w:val="24"/>
          <w:szCs w:val="24"/>
          <w:lang w:eastAsia="de-DE"/>
        </w:rPr>
        <w:t>ll wäre (z.B. im GuV-Posten 1 Zinserträge aus festverzinslichen Wertpapieren).</w:t>
      </w:r>
    </w:p>
    <w:p w14:paraId="385DFF7B" w14:textId="77777777" w:rsidR="00661E87" w:rsidRDefault="00661E87" w:rsidP="00661E87">
      <w:pPr>
        <w:jc w:val="both"/>
        <w:rPr>
          <w:rFonts w:eastAsia="Times New Roman" w:cstheme="minorHAnsi"/>
          <w:bCs/>
          <w:i/>
          <w:snapToGrid w:val="0"/>
          <w:color w:val="auto"/>
          <w:sz w:val="24"/>
          <w:szCs w:val="24"/>
          <w:lang w:eastAsia="de-DE"/>
        </w:rPr>
      </w:pPr>
      <w:r>
        <w:rPr>
          <w:rFonts w:eastAsia="Times New Roman" w:cstheme="minorHAnsi"/>
          <w:bCs/>
          <w:i/>
          <w:snapToGrid w:val="0"/>
          <w:color w:val="auto"/>
          <w:sz w:val="24"/>
          <w:szCs w:val="24"/>
          <w:lang w:eastAsia="de-DE"/>
        </w:rPr>
        <w:t xml:space="preserve">Praxishinweis: Schließt eine Kreditgenossenschaft als Pensionsgeber ein Repo mit der DZ BANK als Pensionsnehmer ab, verbleiben die Wertpapiere im Depot der Kreditgenossenschaft und erhalten einen Sperrvermerk. Daher fließt in diesem Fall der Ertrag direkt der Kreditgenossenschaft zu (wie auch im Standardfall ohne </w:t>
      </w:r>
      <w:proofErr w:type="spellStart"/>
      <w:r>
        <w:rPr>
          <w:rFonts w:eastAsia="Times New Roman" w:cstheme="minorHAnsi"/>
          <w:bCs/>
          <w:i/>
          <w:snapToGrid w:val="0"/>
          <w:color w:val="auto"/>
          <w:sz w:val="24"/>
          <w:szCs w:val="24"/>
          <w:lang w:eastAsia="de-DE"/>
        </w:rPr>
        <w:t>Verpensionierung</w:t>
      </w:r>
      <w:proofErr w:type="spellEnd"/>
      <w:r>
        <w:rPr>
          <w:rFonts w:eastAsia="Times New Roman" w:cstheme="minorHAnsi"/>
          <w:bCs/>
          <w:i/>
          <w:snapToGrid w:val="0"/>
          <w:color w:val="auto"/>
          <w:sz w:val="24"/>
          <w:szCs w:val="24"/>
          <w:lang w:eastAsia="de-DE"/>
        </w:rPr>
        <w:t>). Die Kompensationszahlung des Pensionsnehmers an den Pensionsgeber entfällt somit.</w:t>
      </w:r>
    </w:p>
    <w:p w14:paraId="091ED247" w14:textId="77777777" w:rsidR="00661E87" w:rsidRDefault="00661E87" w:rsidP="00661E87">
      <w:pPr>
        <w:jc w:val="both"/>
        <w:rPr>
          <w:rFonts w:eastAsia="Times New Roman" w:cstheme="minorHAnsi"/>
          <w:bCs/>
          <w:snapToGrid w:val="0"/>
          <w:color w:val="auto"/>
          <w:sz w:val="24"/>
          <w:szCs w:val="24"/>
          <w:lang w:eastAsia="de-DE"/>
        </w:rPr>
      </w:pPr>
    </w:p>
    <w:p w14:paraId="7E7590EE" w14:textId="77777777" w:rsidR="00661E87" w:rsidRDefault="00661E87" w:rsidP="00661E87">
      <w:pPr>
        <w:jc w:val="both"/>
        <w:rPr>
          <w:rFonts w:eastAsia="Times New Roman" w:cstheme="minorHAnsi"/>
          <w:bCs/>
          <w:snapToGrid w:val="0"/>
          <w:color w:val="auto"/>
          <w:sz w:val="24"/>
          <w:szCs w:val="24"/>
          <w:u w:val="single"/>
          <w:lang w:eastAsia="de-DE"/>
        </w:rPr>
      </w:pPr>
      <w:r>
        <w:rPr>
          <w:rFonts w:eastAsia="Times New Roman" w:cstheme="minorHAnsi"/>
          <w:bCs/>
          <w:snapToGrid w:val="0"/>
          <w:color w:val="auto"/>
          <w:sz w:val="24"/>
          <w:szCs w:val="24"/>
          <w:u w:val="single"/>
          <w:lang w:eastAsia="de-DE"/>
        </w:rPr>
        <w:t>Aufwendungen für Verbindlichkeiten aus Pensionsgeschäften</w:t>
      </w:r>
    </w:p>
    <w:p w14:paraId="7F4601EE" w14:textId="77777777" w:rsidR="00661E87" w:rsidRDefault="00661E87" w:rsidP="00661E87">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 xml:space="preserve">Wirtschaftlich handelt es sich für den Pensionsgeber um eine besicherte Kreditaufnahme, für die entsprechende Zinsaufwendungen entstehen. Wenn die Differenz zwischen Hingabe- und Rücknahmebetrag dem Pensionsentgelt (d.h. den Repo-Zinsen) entspricht, ist dieser Betrag als Zinsaufwendungen für die Kreditaufnahme zu erfassen. In </w:t>
      </w:r>
      <w:r>
        <w:rPr>
          <w:rFonts w:eastAsia="Times New Roman" w:cstheme="minorHAnsi"/>
          <w:bCs/>
          <w:snapToGrid w:val="0"/>
          <w:color w:val="auto"/>
          <w:sz w:val="24"/>
          <w:szCs w:val="24"/>
          <w:lang w:eastAsia="de-DE"/>
        </w:rPr>
        <w:lastRenderedPageBreak/>
        <w:t>Abhängigkeit der Bilanzierungsmethode ist der aktive Rechnungsabgrenzungsposten anteilig gegen den Zinsaufwand aufzulösen (Brutto-Methode), bzw. der Hingabebetrag über den Zinsaufwand zuzuschreiben (Netto-Methode).</w:t>
      </w:r>
    </w:p>
    <w:p w14:paraId="76E7F4C5" w14:textId="386ADB5D" w:rsidR="00661E87" w:rsidRDefault="00661E87" w:rsidP="003179F8">
      <w:pPr>
        <w:jc w:val="both"/>
        <w:rPr>
          <w:rFonts w:eastAsia="Times New Roman" w:cstheme="minorHAnsi"/>
          <w:bCs/>
          <w:snapToGrid w:val="0"/>
          <w:color w:val="auto"/>
          <w:sz w:val="24"/>
          <w:szCs w:val="24"/>
          <w:lang w:eastAsia="de-DE"/>
        </w:rPr>
      </w:pPr>
      <w:r>
        <w:rPr>
          <w:rFonts w:eastAsia="Times New Roman" w:cstheme="minorHAnsi"/>
          <w:bCs/>
          <w:snapToGrid w:val="0"/>
          <w:color w:val="auto"/>
          <w:sz w:val="24"/>
          <w:szCs w:val="24"/>
          <w:lang w:eastAsia="de-DE"/>
        </w:rPr>
        <w:t>Eine Saldierung der Zinsaufwendungen mit den laufenden Erträgen aus dem Pensionsgegenstand ist nicht möglich.</w:t>
      </w:r>
    </w:p>
    <w:p w14:paraId="033B1BC6" w14:textId="77777777" w:rsidR="004B55F2" w:rsidRPr="003179F8" w:rsidRDefault="004B55F2" w:rsidP="003179F8">
      <w:pPr>
        <w:jc w:val="both"/>
        <w:rPr>
          <w:sz w:val="24"/>
          <w:szCs w:val="24"/>
          <w:lang w:eastAsia="de-DE"/>
        </w:rPr>
      </w:pPr>
    </w:p>
    <w:p w14:paraId="10FD26D6" w14:textId="1D076E82" w:rsidR="00F14614" w:rsidRPr="003179F8" w:rsidRDefault="00F14614" w:rsidP="003179F8">
      <w:pPr>
        <w:pStyle w:val="berschrift2"/>
        <w:spacing w:before="0" w:after="100"/>
        <w:jc w:val="both"/>
        <w:rPr>
          <w:rFonts w:eastAsia="Times New Roman"/>
          <w:snapToGrid w:val="0"/>
          <w:sz w:val="24"/>
          <w:szCs w:val="24"/>
          <w:lang w:eastAsia="de-DE"/>
        </w:rPr>
      </w:pPr>
      <w:bookmarkStart w:id="40" w:name="_Toc172294759"/>
      <w:proofErr w:type="spellStart"/>
      <w:r w:rsidRPr="003179F8">
        <w:rPr>
          <w:rFonts w:eastAsia="Times New Roman"/>
          <w:snapToGrid w:val="0"/>
          <w:sz w:val="24"/>
          <w:szCs w:val="24"/>
          <w:lang w:eastAsia="de-DE"/>
        </w:rPr>
        <w:t>Anhangangaben</w:t>
      </w:r>
      <w:bookmarkEnd w:id="40"/>
      <w:proofErr w:type="spellEnd"/>
    </w:p>
    <w:p w14:paraId="3BBB77A7"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Der Pensionsgeber hat den Buchwert der in Pension gegebenen Wertpapiere im Anhang anzugeben.</w:t>
      </w:r>
    </w:p>
    <w:p w14:paraId="41273E07" w14:textId="77777777" w:rsidR="004B55F2" w:rsidRPr="003179F8" w:rsidRDefault="004B55F2" w:rsidP="003179F8">
      <w:pPr>
        <w:jc w:val="both"/>
        <w:rPr>
          <w:sz w:val="24"/>
          <w:szCs w:val="24"/>
          <w:lang w:eastAsia="de-DE"/>
        </w:rPr>
      </w:pPr>
    </w:p>
    <w:p w14:paraId="5AC79923" w14:textId="4033C379" w:rsidR="00F14614" w:rsidRPr="003179F8" w:rsidRDefault="00F14614" w:rsidP="003179F8">
      <w:pPr>
        <w:pStyle w:val="berschrift2"/>
        <w:spacing w:before="0" w:after="100"/>
        <w:jc w:val="both"/>
        <w:rPr>
          <w:rFonts w:eastAsia="Times New Roman"/>
          <w:snapToGrid w:val="0"/>
          <w:sz w:val="24"/>
          <w:szCs w:val="24"/>
          <w:lang w:eastAsia="de-DE"/>
        </w:rPr>
      </w:pPr>
      <w:bookmarkStart w:id="41" w:name="_Toc172294760"/>
      <w:r w:rsidRPr="003179F8">
        <w:rPr>
          <w:rFonts w:eastAsia="Times New Roman"/>
          <w:snapToGrid w:val="0"/>
          <w:sz w:val="24"/>
          <w:szCs w:val="24"/>
          <w:lang w:eastAsia="de-DE"/>
        </w:rPr>
        <w:t>Lagebericht</w:t>
      </w:r>
      <w:bookmarkEnd w:id="41"/>
    </w:p>
    <w:p w14:paraId="2A60D842" w14:textId="77777777" w:rsidR="004B55F2" w:rsidRPr="003179F8" w:rsidRDefault="004B55F2" w:rsidP="003179F8">
      <w:pPr>
        <w:jc w:val="both"/>
        <w:rPr>
          <w:rFonts w:eastAsia="Times New Roman" w:cstheme="minorHAnsi"/>
          <w:snapToGrid w:val="0"/>
          <w:color w:val="auto"/>
          <w:sz w:val="24"/>
          <w:szCs w:val="24"/>
          <w:lang w:eastAsia="de-DE"/>
        </w:rPr>
      </w:pPr>
      <w:r w:rsidRPr="003179F8">
        <w:rPr>
          <w:rFonts w:eastAsia="Times New Roman" w:cstheme="minorHAnsi"/>
          <w:snapToGrid w:val="0"/>
          <w:color w:val="auto"/>
          <w:sz w:val="24"/>
          <w:szCs w:val="24"/>
          <w:lang w:eastAsia="de-DE"/>
        </w:rPr>
        <w:t>Spezifische Angaben zu Repos / Pensionsgeschäften sind im Lagebericht nicht darzustellen.</w:t>
      </w:r>
    </w:p>
    <w:p w14:paraId="1CDECCBB" w14:textId="77777777" w:rsidR="004B55F2" w:rsidRPr="003179F8" w:rsidRDefault="004B55F2" w:rsidP="003179F8">
      <w:pPr>
        <w:jc w:val="both"/>
        <w:rPr>
          <w:sz w:val="24"/>
          <w:szCs w:val="24"/>
          <w:lang w:eastAsia="de-DE"/>
        </w:rPr>
      </w:pPr>
    </w:p>
    <w:p w14:paraId="6ABA2934" w14:textId="160785A3" w:rsidR="00F14614" w:rsidRPr="003179F8" w:rsidRDefault="00A36E84" w:rsidP="003179F8">
      <w:pPr>
        <w:pStyle w:val="berschrift1"/>
        <w:spacing w:before="0" w:after="100"/>
        <w:jc w:val="both"/>
        <w:rPr>
          <w:rFonts w:eastAsia="Times New Roman"/>
          <w:snapToGrid w:val="0"/>
          <w:sz w:val="24"/>
          <w:szCs w:val="24"/>
          <w:lang w:eastAsia="de-DE"/>
        </w:rPr>
      </w:pPr>
      <w:bookmarkStart w:id="42" w:name="_Toc172294761"/>
      <w:r>
        <w:rPr>
          <w:rFonts w:eastAsia="Times New Roman"/>
          <w:snapToGrid w:val="0"/>
          <w:sz w:val="24"/>
          <w:szCs w:val="24"/>
          <w:lang w:eastAsia="de-DE"/>
        </w:rPr>
        <w:t>Aufsichtsrecht/</w:t>
      </w:r>
      <w:r w:rsidR="00F14614" w:rsidRPr="003179F8">
        <w:rPr>
          <w:rFonts w:eastAsia="Times New Roman"/>
          <w:snapToGrid w:val="0"/>
          <w:sz w:val="24"/>
          <w:szCs w:val="24"/>
          <w:lang w:eastAsia="de-DE"/>
        </w:rPr>
        <w:t>Meldewesen</w:t>
      </w:r>
      <w:bookmarkEnd w:id="42"/>
    </w:p>
    <w:p w14:paraId="3CE6D916" w14:textId="07E4D48A" w:rsidR="004B55F2" w:rsidRPr="00F901A6" w:rsidRDefault="00F14614" w:rsidP="003179F8">
      <w:pPr>
        <w:pStyle w:val="berschrift2"/>
        <w:spacing w:before="0" w:after="100"/>
        <w:jc w:val="both"/>
        <w:rPr>
          <w:rFonts w:eastAsia="Times New Roman"/>
          <w:snapToGrid w:val="0"/>
          <w:sz w:val="24"/>
          <w:szCs w:val="24"/>
          <w:lang w:eastAsia="de-DE"/>
        </w:rPr>
      </w:pPr>
      <w:bookmarkStart w:id="43" w:name="_Toc172294762"/>
      <w:r w:rsidRPr="00F901A6">
        <w:rPr>
          <w:rFonts w:eastAsia="Times New Roman"/>
          <w:snapToGrid w:val="0"/>
          <w:sz w:val="24"/>
          <w:szCs w:val="24"/>
          <w:lang w:eastAsia="de-DE"/>
        </w:rPr>
        <w:t>Zuordnung des Geschäfts</w:t>
      </w:r>
      <w:r w:rsidR="00D74E55">
        <w:rPr>
          <w:rFonts w:eastAsia="Times New Roman"/>
          <w:snapToGrid w:val="0"/>
          <w:sz w:val="24"/>
          <w:szCs w:val="24"/>
          <w:lang w:eastAsia="de-DE"/>
        </w:rPr>
        <w:t xml:space="preserve"> </w:t>
      </w:r>
      <w:r w:rsidR="00A36E84">
        <w:rPr>
          <w:rFonts w:eastAsia="Times New Roman"/>
          <w:snapToGrid w:val="0"/>
          <w:sz w:val="24"/>
          <w:szCs w:val="24"/>
          <w:lang w:eastAsia="de-DE"/>
        </w:rPr>
        <w:t>/</w:t>
      </w:r>
      <w:r w:rsidR="00D74E55">
        <w:rPr>
          <w:rFonts w:eastAsia="Times New Roman"/>
          <w:snapToGrid w:val="0"/>
          <w:sz w:val="24"/>
          <w:szCs w:val="24"/>
          <w:lang w:eastAsia="de-DE"/>
        </w:rPr>
        <w:t xml:space="preserve"> </w:t>
      </w:r>
      <w:r w:rsidR="00A36E84">
        <w:rPr>
          <w:rFonts w:eastAsia="Times New Roman"/>
          <w:snapToGrid w:val="0"/>
          <w:sz w:val="24"/>
          <w:szCs w:val="24"/>
          <w:lang w:eastAsia="de-DE"/>
        </w:rPr>
        <w:t>Grundlegendes</w:t>
      </w:r>
      <w:bookmarkEnd w:id="43"/>
    </w:p>
    <w:p w14:paraId="18F752E5" w14:textId="34F111BF" w:rsidR="00960A13" w:rsidRPr="00F901A6" w:rsidRDefault="00D57728" w:rsidP="00D57728">
      <w:pPr>
        <w:rPr>
          <w:sz w:val="24"/>
          <w:szCs w:val="24"/>
        </w:rPr>
      </w:pPr>
      <w:r w:rsidRPr="00F901A6">
        <w:rPr>
          <w:sz w:val="24"/>
          <w:szCs w:val="24"/>
        </w:rPr>
        <w:t xml:space="preserve">Es erfolgt eine Zuordnung zum </w:t>
      </w:r>
      <w:r w:rsidR="006E2674" w:rsidRPr="006E2674">
        <w:rPr>
          <w:rFonts w:eastAsia="Times New Roman" w:cstheme="minorHAnsi"/>
          <w:snapToGrid w:val="0"/>
          <w:color w:val="auto"/>
          <w:sz w:val="24"/>
          <w:szCs w:val="24"/>
          <w:lang w:eastAsia="de-DE"/>
        </w:rPr>
        <w:t>[Anlagebuch/Handelsbuch]</w:t>
      </w:r>
      <w:r w:rsidRPr="00F901A6">
        <w:rPr>
          <w:sz w:val="24"/>
          <w:szCs w:val="24"/>
        </w:rPr>
        <w:t>.</w:t>
      </w:r>
    </w:p>
    <w:p w14:paraId="515EEF7E" w14:textId="77777777" w:rsidR="00D57728" w:rsidRPr="00F901A6" w:rsidRDefault="00D57728" w:rsidP="00F901A6">
      <w:pPr>
        <w:rPr>
          <w:highlight w:val="yellow"/>
          <w:lang w:eastAsia="de-DE"/>
        </w:rPr>
      </w:pPr>
    </w:p>
    <w:p w14:paraId="58217D91" w14:textId="08296790" w:rsidR="00F14614" w:rsidRPr="003179F8" w:rsidRDefault="00F14614" w:rsidP="003179F8">
      <w:pPr>
        <w:pStyle w:val="berschrift2"/>
        <w:spacing w:before="0" w:after="100"/>
        <w:jc w:val="both"/>
        <w:rPr>
          <w:rFonts w:eastAsia="Times New Roman"/>
          <w:snapToGrid w:val="0"/>
          <w:sz w:val="24"/>
          <w:szCs w:val="24"/>
          <w:lang w:eastAsia="de-DE"/>
        </w:rPr>
      </w:pPr>
      <w:bookmarkStart w:id="44" w:name="_Toc172294763"/>
      <w:r w:rsidRPr="003179F8">
        <w:rPr>
          <w:rFonts w:eastAsia="Times New Roman"/>
          <w:snapToGrid w:val="0"/>
          <w:sz w:val="24"/>
          <w:szCs w:val="24"/>
          <w:lang w:eastAsia="de-DE"/>
        </w:rPr>
        <w:t>Eigenmittel / Eigenmittelanforderungen</w:t>
      </w:r>
      <w:bookmarkEnd w:id="44"/>
    </w:p>
    <w:p w14:paraId="5D5BB62B" w14:textId="1C13869D" w:rsidR="006E0C4C" w:rsidRPr="006E0C4C" w:rsidRDefault="006E0C4C" w:rsidP="00895D53">
      <w:pPr>
        <w:pStyle w:val="berschrift3"/>
        <w:rPr>
          <w:rFonts w:eastAsia="Times New Roman"/>
          <w:snapToGrid w:val="0"/>
          <w:lang w:eastAsia="de-DE"/>
        </w:rPr>
      </w:pPr>
      <w:bookmarkStart w:id="45" w:name="_Toc172294764"/>
      <w:r w:rsidRPr="006E0C4C">
        <w:rPr>
          <w:rFonts w:eastAsia="Times New Roman"/>
          <w:snapToGrid w:val="0"/>
          <w:lang w:eastAsia="de-DE"/>
        </w:rPr>
        <w:t>Kreditrisikostandardansatz</w:t>
      </w:r>
      <w:r w:rsidR="00895D53">
        <w:rPr>
          <w:rFonts w:eastAsia="Times New Roman"/>
          <w:snapToGrid w:val="0"/>
          <w:lang w:eastAsia="de-DE"/>
        </w:rPr>
        <w:t xml:space="preserve"> (KSA)</w:t>
      </w:r>
      <w:bookmarkEnd w:id="45"/>
    </w:p>
    <w:p w14:paraId="7EDABD2B" w14:textId="2659C809" w:rsidR="004B55F2" w:rsidRPr="003179F8" w:rsidRDefault="004B55F2" w:rsidP="003179F8">
      <w:pPr>
        <w:jc w:val="both"/>
        <w:rPr>
          <w:rFonts w:eastAsia="Times New Roman" w:cstheme="minorHAnsi"/>
          <w:b/>
          <w:snapToGrid w:val="0"/>
          <w:color w:val="auto"/>
          <w:sz w:val="24"/>
          <w:szCs w:val="24"/>
          <w:lang w:eastAsia="de-DE"/>
        </w:rPr>
      </w:pPr>
      <w:r w:rsidRPr="003179F8">
        <w:rPr>
          <w:rFonts w:eastAsia="Times New Roman" w:cstheme="minorHAnsi"/>
          <w:b/>
          <w:snapToGrid w:val="0"/>
          <w:color w:val="auto"/>
          <w:sz w:val="24"/>
          <w:szCs w:val="24"/>
          <w:lang w:eastAsia="de-DE"/>
        </w:rPr>
        <w:t>Pensionsgeber</w:t>
      </w:r>
    </w:p>
    <w:p w14:paraId="289804CC" w14:textId="23152FD1"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Es ist zu beachten, dass die Wertpapiere und das daraus entstehende Kreditrisiko bei echten Pensionsgeschäften weiter in der Bilanz des Pensionsgebers verbleiben und folglich in der </w:t>
      </w:r>
      <w:r w:rsidR="00D16CDA">
        <w:rPr>
          <w:rFonts w:eastAsia="Times New Roman" w:cstheme="minorHAnsi"/>
          <w:bCs/>
          <w:snapToGrid w:val="0"/>
          <w:color w:val="auto"/>
          <w:sz w:val="24"/>
          <w:szCs w:val="24"/>
          <w:lang w:eastAsia="de-DE"/>
        </w:rPr>
        <w:t>Eigenmittelmeldung</w:t>
      </w:r>
      <w:r w:rsidRPr="003179F8">
        <w:rPr>
          <w:rFonts w:eastAsia="Times New Roman" w:cstheme="minorHAnsi"/>
          <w:bCs/>
          <w:snapToGrid w:val="0"/>
          <w:color w:val="auto"/>
          <w:sz w:val="24"/>
          <w:szCs w:val="24"/>
          <w:lang w:eastAsia="de-DE"/>
        </w:rPr>
        <w:t xml:space="preserve"> als Kreditrisiko oder ggf. im Marktpreisrisiko zu berücksichtigen sind. Folglich ergibt sich ein Emittenten- und ein </w:t>
      </w:r>
      <w:proofErr w:type="spellStart"/>
      <w:r w:rsidRPr="003179F8">
        <w:rPr>
          <w:rFonts w:eastAsia="Times New Roman" w:cstheme="minorHAnsi"/>
          <w:bCs/>
          <w:snapToGrid w:val="0"/>
          <w:color w:val="auto"/>
          <w:sz w:val="24"/>
          <w:szCs w:val="24"/>
          <w:lang w:eastAsia="de-DE"/>
        </w:rPr>
        <w:t>Kontrahentenausfallrisiko</w:t>
      </w:r>
      <w:proofErr w:type="spellEnd"/>
      <w:r w:rsidRPr="003179F8">
        <w:rPr>
          <w:rFonts w:eastAsia="Times New Roman" w:cstheme="minorHAnsi"/>
          <w:bCs/>
          <w:snapToGrid w:val="0"/>
          <w:color w:val="auto"/>
          <w:sz w:val="24"/>
          <w:szCs w:val="24"/>
          <w:lang w:eastAsia="de-DE"/>
        </w:rPr>
        <w:t>.</w:t>
      </w:r>
    </w:p>
    <w:p w14:paraId="6AFCC86B" w14:textId="47EA8466"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Das Risikogewicht für das Adressenausfallrisiko ergibt sich nach den allgemeinen KSA-Regelungen. </w:t>
      </w:r>
    </w:p>
    <w:p w14:paraId="7EA1A78E" w14:textId="0C1B6078"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Gemäß Art. 271 Abs. 2 CRR ist das bestehende </w:t>
      </w:r>
      <w:proofErr w:type="spellStart"/>
      <w:r w:rsidRPr="003179F8">
        <w:rPr>
          <w:rFonts w:eastAsia="Times New Roman" w:cstheme="minorHAnsi"/>
          <w:bCs/>
          <w:snapToGrid w:val="0"/>
          <w:color w:val="auto"/>
          <w:sz w:val="24"/>
          <w:szCs w:val="24"/>
          <w:lang w:eastAsia="de-DE"/>
        </w:rPr>
        <w:t>Kontrahentenrisiko</w:t>
      </w:r>
      <w:proofErr w:type="spellEnd"/>
      <w:r w:rsidRPr="003179F8">
        <w:rPr>
          <w:rFonts w:eastAsia="Times New Roman" w:cstheme="minorHAnsi"/>
          <w:bCs/>
          <w:snapToGrid w:val="0"/>
          <w:color w:val="auto"/>
          <w:sz w:val="24"/>
          <w:szCs w:val="24"/>
          <w:lang w:eastAsia="de-DE"/>
        </w:rPr>
        <w:t xml:space="preserve"> gegenüber dem Pensionsnehmer nach Kapitel 4 der CRR (Kreditrisikominderung) oder nach den Regelungen zum Gegenparteiausfallrisiko zu berücksichtigen. Der üblichen Vorgehens</w:t>
      </w:r>
      <w:r w:rsidR="007B4EB8" w:rsidRPr="003179F8">
        <w:rPr>
          <w:rFonts w:eastAsia="Times New Roman" w:cstheme="minorHAnsi"/>
          <w:bCs/>
          <w:snapToGrid w:val="0"/>
          <w:color w:val="auto"/>
          <w:sz w:val="24"/>
          <w:szCs w:val="24"/>
          <w:lang w:eastAsia="de-DE"/>
        </w:rPr>
        <w:t>-</w:t>
      </w:r>
      <w:r w:rsidRPr="003179F8">
        <w:rPr>
          <w:rFonts w:eastAsia="Times New Roman" w:cstheme="minorHAnsi"/>
          <w:bCs/>
          <w:snapToGrid w:val="0"/>
          <w:color w:val="auto"/>
          <w:sz w:val="24"/>
          <w:szCs w:val="24"/>
          <w:lang w:eastAsia="de-DE"/>
        </w:rPr>
        <w:t xml:space="preserve">weise folgend, erfolgt eine Behandlung im Rahmen der Kreditrisikominderungen. Folgende Methoden können hier angewendet werden: </w:t>
      </w:r>
    </w:p>
    <w:p w14:paraId="1AA5E800" w14:textId="26B31FA8" w:rsidR="004B55F2" w:rsidRPr="004C6500" w:rsidRDefault="004B55F2" w:rsidP="004C6500">
      <w:pPr>
        <w:pStyle w:val="Listenabsatz"/>
        <w:numPr>
          <w:ilvl w:val="0"/>
          <w:numId w:val="22"/>
        </w:numPr>
        <w:jc w:val="both"/>
        <w:rPr>
          <w:rFonts w:eastAsia="Times New Roman" w:cstheme="minorHAnsi"/>
          <w:bCs/>
          <w:snapToGrid w:val="0"/>
          <w:color w:val="auto"/>
          <w:sz w:val="24"/>
          <w:szCs w:val="24"/>
          <w:lang w:eastAsia="de-DE"/>
        </w:rPr>
      </w:pPr>
      <w:r w:rsidRPr="004C6500">
        <w:rPr>
          <w:rFonts w:eastAsia="Times New Roman" w:cstheme="minorHAnsi"/>
          <w:bCs/>
          <w:snapToGrid w:val="0"/>
          <w:color w:val="auto"/>
          <w:sz w:val="24"/>
          <w:szCs w:val="24"/>
          <w:lang w:eastAsia="de-DE"/>
        </w:rPr>
        <w:t>Die umfassende Methode zur Berücksichtigung finanzieller Sicherheiten nach Art. 223-226 CRR. Auf die in Pension gegebenen Wertpapiere sind die jeweiligen Schwankungsfaktoren anzuwenden. Im Falle eines aufsichtsrechtlich anerkannten Nettings kann ferner Art. 220 CRR angewendet werden.</w:t>
      </w:r>
    </w:p>
    <w:p w14:paraId="69C213C0" w14:textId="396E0BA0" w:rsidR="004B55F2" w:rsidRPr="00FD086D" w:rsidRDefault="004B55F2" w:rsidP="004C6500">
      <w:pPr>
        <w:pStyle w:val="Listenabsatz"/>
        <w:numPr>
          <w:ilvl w:val="0"/>
          <w:numId w:val="22"/>
        </w:numPr>
        <w:jc w:val="both"/>
        <w:rPr>
          <w:rFonts w:eastAsia="Times New Roman" w:cstheme="minorHAnsi"/>
          <w:bCs/>
          <w:snapToGrid w:val="0"/>
          <w:color w:val="auto"/>
          <w:sz w:val="24"/>
          <w:szCs w:val="24"/>
          <w:lang w:eastAsia="de-DE"/>
        </w:rPr>
      </w:pPr>
      <w:r w:rsidRPr="00FD086D">
        <w:rPr>
          <w:rFonts w:eastAsia="Times New Roman" w:cstheme="minorHAnsi"/>
          <w:bCs/>
          <w:snapToGrid w:val="0"/>
          <w:color w:val="auto"/>
          <w:sz w:val="24"/>
          <w:szCs w:val="24"/>
          <w:lang w:eastAsia="de-DE"/>
        </w:rPr>
        <w:t>Die einfache Methode zur Berücksichtigung finanzieller Sicherheiten nach Art. 222 CRR (nur für KSA-Anwender).</w:t>
      </w:r>
    </w:p>
    <w:p w14:paraId="557C9F17" w14:textId="08FD21EC"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Die Risikoposition gegenüber dem Kontrahenten DZ BANK ist in Höhe des Buchwertes der übertragenen Wertpapiere zu berücksichtigen. Der erhaltene Barbetrag könnte im </w:t>
      </w:r>
      <w:r w:rsidRPr="003179F8">
        <w:rPr>
          <w:rFonts w:eastAsia="Times New Roman" w:cstheme="minorHAnsi"/>
          <w:bCs/>
          <w:snapToGrid w:val="0"/>
          <w:color w:val="auto"/>
          <w:sz w:val="24"/>
          <w:szCs w:val="24"/>
          <w:lang w:eastAsia="de-DE"/>
        </w:rPr>
        <w:lastRenderedPageBreak/>
        <w:t>Rahmen der Kreditrisikominderungen (unter Beachtung der Voraussetzungen) risikoreduzierend berücksichtigt werden.</w:t>
      </w:r>
    </w:p>
    <w:p w14:paraId="28F0163D" w14:textId="57D8DB86" w:rsidR="004B55F2" w:rsidRPr="003179F8" w:rsidRDefault="004B55F2" w:rsidP="003179F8">
      <w:pPr>
        <w:jc w:val="both"/>
        <w:rPr>
          <w:sz w:val="24"/>
          <w:szCs w:val="24"/>
        </w:rPr>
      </w:pPr>
      <w:r w:rsidRPr="003179F8">
        <w:rPr>
          <w:rFonts w:eastAsia="Times New Roman" w:cstheme="minorHAnsi"/>
          <w:bCs/>
          <w:snapToGrid w:val="0"/>
          <w:color w:val="auto"/>
          <w:sz w:val="24"/>
          <w:szCs w:val="24"/>
          <w:lang w:eastAsia="de-DE"/>
        </w:rPr>
        <w:t>Innerhalb der Mitglieder der BVR-Sicherungseinrichtung kann eine Nullgewichtung des Kontrahenten/Pensionsnehmers DZ BANK erfolgen, sofern das Vorliegen der Voraussetzungen des Art. 113 Abs. 7 CRR angemessen dokumentiert wurde. Ansonsten ist das individuelle Risikogewicht des Kontrahenten anzuwenden. Handelt es sich beim Kontrahenten um einen CCP (Central Counterparty), so sind Art. 300-311 CRR zu beachten.</w:t>
      </w:r>
      <w:r w:rsidRPr="003179F8">
        <w:rPr>
          <w:sz w:val="24"/>
          <w:szCs w:val="24"/>
        </w:rPr>
        <w:t xml:space="preserve"> </w:t>
      </w:r>
    </w:p>
    <w:p w14:paraId="1D91F6AF" w14:textId="54CAE18B" w:rsidR="004B55F2"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[Aufgrund der ohnehin schon bestehenden Nullgewichtung der Risikoposition gegenüber der DZ BANK findet keine Anwendung einer Kreditrisikominderung statt.]</w:t>
      </w:r>
    </w:p>
    <w:p w14:paraId="43667EE5" w14:textId="77777777" w:rsidR="006E0C4C" w:rsidRPr="006E0C4C" w:rsidRDefault="006E0C4C" w:rsidP="006E0C4C">
      <w:pPr>
        <w:jc w:val="both"/>
        <w:rPr>
          <w:rFonts w:eastAsia="Times New Roman" w:cstheme="minorHAnsi"/>
          <w:b/>
          <w:bCs/>
          <w:snapToGrid w:val="0"/>
          <w:color w:val="auto"/>
          <w:sz w:val="24"/>
          <w:szCs w:val="24"/>
          <w:lang w:eastAsia="de-DE"/>
        </w:rPr>
      </w:pPr>
      <w:r w:rsidRPr="006E0C4C">
        <w:rPr>
          <w:rFonts w:eastAsia="Times New Roman" w:cstheme="minorHAnsi"/>
          <w:b/>
          <w:bCs/>
          <w:snapToGrid w:val="0"/>
          <w:color w:val="auto"/>
          <w:sz w:val="24"/>
          <w:szCs w:val="24"/>
          <w:lang w:eastAsia="de-DE"/>
        </w:rPr>
        <w:t xml:space="preserve">Meldeausweis </w:t>
      </w:r>
      <w:proofErr w:type="spellStart"/>
      <w:r w:rsidRPr="006E0C4C">
        <w:rPr>
          <w:rFonts w:eastAsia="Times New Roman" w:cstheme="minorHAnsi"/>
          <w:b/>
          <w:bCs/>
          <w:snapToGrid w:val="0"/>
          <w:color w:val="auto"/>
          <w:sz w:val="24"/>
          <w:szCs w:val="24"/>
          <w:lang w:eastAsia="de-DE"/>
        </w:rPr>
        <w:t>Kontrahentenrisiko</w:t>
      </w:r>
      <w:proofErr w:type="spellEnd"/>
      <w:r w:rsidRPr="006E0C4C">
        <w:rPr>
          <w:rFonts w:eastAsia="Times New Roman" w:cstheme="minorHAnsi"/>
          <w:b/>
          <w:bCs/>
          <w:snapToGrid w:val="0"/>
          <w:color w:val="auto"/>
          <w:sz w:val="24"/>
          <w:szCs w:val="24"/>
          <w:lang w:eastAsia="de-DE"/>
        </w:rPr>
        <w:t xml:space="preserve"> Formular C34.02</w:t>
      </w:r>
    </w:p>
    <w:p w14:paraId="4E1EFF57" w14:textId="77777777" w:rsidR="006E0C4C" w:rsidRPr="006E0C4C" w:rsidRDefault="006E0C4C" w:rsidP="006E0C4C">
      <w:pPr>
        <w:jc w:val="both"/>
        <w:rPr>
          <w:rFonts w:eastAsia="Times New Roman" w:cstheme="minorHAnsi"/>
          <w:bCs/>
          <w:snapToGrid w:val="0"/>
          <w:color w:val="auto"/>
          <w:sz w:val="24"/>
          <w:szCs w:val="24"/>
          <w:lang w:eastAsia="de-DE"/>
        </w:rPr>
      </w:pPr>
      <w:r w:rsidRPr="006E0C4C">
        <w:rPr>
          <w:rFonts w:eastAsia="Times New Roman" w:cstheme="minorHAnsi"/>
          <w:bCs/>
          <w:snapToGrid w:val="0"/>
          <w:color w:val="auto"/>
          <w:sz w:val="24"/>
          <w:szCs w:val="24"/>
          <w:lang w:eastAsia="de-DE"/>
        </w:rPr>
        <w:t>Bei Nutzung der Einfachen Methode der Kreditrisikominderungstechniken ist im Meldebogen C34.02 für SFT (besicherte Finanzierungsgeschäfte) ein Meldeausweis in Zeile 0080 vorgesehen.</w:t>
      </w:r>
    </w:p>
    <w:p w14:paraId="055DF5DF" w14:textId="77777777" w:rsidR="006E0C4C" w:rsidRPr="000954C2" w:rsidRDefault="006E0C4C" w:rsidP="003179F8">
      <w:pPr>
        <w:jc w:val="both"/>
        <w:rPr>
          <w:rFonts w:eastAsia="Times New Roman" w:cstheme="minorHAnsi"/>
          <w:bCs/>
          <w:snapToGrid w:val="0"/>
          <w:color w:val="auto"/>
          <w:sz w:val="24"/>
          <w:szCs w:val="24"/>
          <w:lang w:eastAsia="de-DE"/>
        </w:rPr>
      </w:pPr>
    </w:p>
    <w:p w14:paraId="22E6498D" w14:textId="3FE76466" w:rsidR="00895D53" w:rsidRPr="000954C2" w:rsidRDefault="006E0C4C" w:rsidP="00895D53">
      <w:pPr>
        <w:pStyle w:val="berschrift3"/>
        <w:rPr>
          <w:rFonts w:eastAsia="Times New Roman"/>
          <w:snapToGrid w:val="0"/>
          <w:sz w:val="24"/>
          <w:szCs w:val="24"/>
          <w:lang w:eastAsia="de-DE"/>
        </w:rPr>
      </w:pPr>
      <w:bookmarkStart w:id="46" w:name="_Toc172294765"/>
      <w:r w:rsidRPr="000954C2">
        <w:rPr>
          <w:rFonts w:eastAsia="Times New Roman"/>
          <w:snapToGrid w:val="0"/>
          <w:sz w:val="24"/>
          <w:szCs w:val="24"/>
          <w:lang w:eastAsia="de-DE"/>
        </w:rPr>
        <w:t>Marktrisiken</w:t>
      </w:r>
      <w:bookmarkEnd w:id="46"/>
    </w:p>
    <w:p w14:paraId="06CD86B6" w14:textId="41083AC2" w:rsidR="00895D53" w:rsidRPr="000954C2" w:rsidRDefault="000954C2" w:rsidP="00895D53">
      <w:pPr>
        <w:rPr>
          <w:sz w:val="24"/>
          <w:szCs w:val="24"/>
          <w:lang w:eastAsia="de-DE"/>
        </w:rPr>
      </w:pPr>
      <w:r>
        <w:rPr>
          <w:sz w:val="24"/>
          <w:szCs w:val="24"/>
          <w:lang w:eastAsia="de-DE"/>
        </w:rPr>
        <w:t xml:space="preserve">Das Wertpapier ist unverändert zu berücksichtigen (z.B. Währungsrisiko). Für das Repo wäre </w:t>
      </w:r>
      <w:r w:rsidR="00FF7BA1">
        <w:rPr>
          <w:sz w:val="24"/>
          <w:szCs w:val="24"/>
          <w:lang w:eastAsia="de-DE"/>
        </w:rPr>
        <w:t>eine zusätzliche Berücksichtigung</w:t>
      </w:r>
      <w:r>
        <w:rPr>
          <w:sz w:val="24"/>
          <w:szCs w:val="24"/>
          <w:lang w:eastAsia="de-DE"/>
        </w:rPr>
        <w:t xml:space="preserve"> z.B. beim Eingehen von Repos in Fremdwährung relevant.</w:t>
      </w:r>
    </w:p>
    <w:p w14:paraId="42C45EBF" w14:textId="05FDE1F9" w:rsidR="006E0C4C" w:rsidRPr="000954C2" w:rsidRDefault="006E0C4C" w:rsidP="00895D53">
      <w:pPr>
        <w:pStyle w:val="berschrift3"/>
        <w:rPr>
          <w:rFonts w:eastAsia="Times New Roman"/>
          <w:snapToGrid w:val="0"/>
          <w:sz w:val="24"/>
          <w:szCs w:val="24"/>
          <w:lang w:eastAsia="de-DE"/>
        </w:rPr>
      </w:pPr>
      <w:bookmarkStart w:id="47" w:name="_Toc172294766"/>
      <w:r w:rsidRPr="000954C2">
        <w:rPr>
          <w:rFonts w:eastAsia="Times New Roman"/>
          <w:snapToGrid w:val="0"/>
          <w:sz w:val="24"/>
          <w:szCs w:val="24"/>
          <w:lang w:eastAsia="de-DE"/>
        </w:rPr>
        <w:t>Risiko einer Anpassung der Kreditbewertung</w:t>
      </w:r>
      <w:r w:rsidR="00895D53" w:rsidRPr="000954C2">
        <w:rPr>
          <w:rFonts w:eastAsia="Times New Roman"/>
          <w:snapToGrid w:val="0"/>
          <w:sz w:val="24"/>
          <w:szCs w:val="24"/>
          <w:lang w:eastAsia="de-DE"/>
        </w:rPr>
        <w:t xml:space="preserve"> (CVA-Risiko)</w:t>
      </w:r>
      <w:bookmarkEnd w:id="47"/>
    </w:p>
    <w:p w14:paraId="03B146DC" w14:textId="29A1E469"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Eine CVA-Charge (</w:t>
      </w:r>
      <w:proofErr w:type="spellStart"/>
      <w:r w:rsidRPr="003179F8">
        <w:rPr>
          <w:rFonts w:eastAsia="Times New Roman" w:cstheme="minorHAnsi"/>
          <w:bCs/>
          <w:snapToGrid w:val="0"/>
          <w:color w:val="auto"/>
          <w:sz w:val="24"/>
          <w:szCs w:val="24"/>
          <w:lang w:eastAsia="de-DE"/>
        </w:rPr>
        <w:t>Credit</w:t>
      </w:r>
      <w:proofErr w:type="spellEnd"/>
      <w:r w:rsidRPr="003179F8">
        <w:rPr>
          <w:rFonts w:eastAsia="Times New Roman" w:cstheme="minorHAnsi"/>
          <w:bCs/>
          <w:snapToGrid w:val="0"/>
          <w:color w:val="auto"/>
          <w:sz w:val="24"/>
          <w:szCs w:val="24"/>
          <w:lang w:eastAsia="de-DE"/>
        </w:rPr>
        <w:t xml:space="preserve"> </w:t>
      </w:r>
      <w:proofErr w:type="spellStart"/>
      <w:r w:rsidRPr="003179F8">
        <w:rPr>
          <w:rFonts w:eastAsia="Times New Roman" w:cstheme="minorHAnsi"/>
          <w:bCs/>
          <w:snapToGrid w:val="0"/>
          <w:color w:val="auto"/>
          <w:sz w:val="24"/>
          <w:szCs w:val="24"/>
          <w:lang w:eastAsia="de-DE"/>
        </w:rPr>
        <w:t>Valuation</w:t>
      </w:r>
      <w:proofErr w:type="spellEnd"/>
      <w:r w:rsidRPr="003179F8">
        <w:rPr>
          <w:rFonts w:eastAsia="Times New Roman" w:cstheme="minorHAnsi"/>
          <w:bCs/>
          <w:snapToGrid w:val="0"/>
          <w:color w:val="auto"/>
          <w:sz w:val="24"/>
          <w:szCs w:val="24"/>
          <w:lang w:eastAsia="de-DE"/>
        </w:rPr>
        <w:t xml:space="preserve"> Adjustment) muss für Pensionsgeschäfte nach derzeitigem Stand (vorbehaltlich einer anderslautenden Entscheidung der BaFin) nicht angerechnet werden. Eine CVA-Charge müsste nur angerechnet werden, wenn die Aufsicht feststellen sollte, dass das Risiko aus den Wertpapierpensionsgeschäften für das Institut wesentlich ist.</w:t>
      </w:r>
    </w:p>
    <w:p w14:paraId="5F891F74" w14:textId="77777777" w:rsidR="00967B0D" w:rsidRDefault="00967B0D" w:rsidP="003179F8">
      <w:pPr>
        <w:jc w:val="both"/>
        <w:rPr>
          <w:rFonts w:eastAsia="Times New Roman" w:cstheme="minorHAnsi"/>
          <w:b/>
          <w:snapToGrid w:val="0"/>
          <w:color w:val="auto"/>
          <w:sz w:val="24"/>
          <w:szCs w:val="24"/>
          <w:lang w:eastAsia="de-DE"/>
        </w:rPr>
      </w:pPr>
    </w:p>
    <w:p w14:paraId="52518555" w14:textId="728B0947" w:rsidR="0095204D" w:rsidRPr="004C6500" w:rsidRDefault="0095204D" w:rsidP="003179F8">
      <w:pPr>
        <w:jc w:val="both"/>
        <w:rPr>
          <w:rFonts w:eastAsia="Times New Roman" w:cstheme="minorHAnsi"/>
          <w:b/>
          <w:snapToGrid w:val="0"/>
          <w:color w:val="auto"/>
          <w:sz w:val="24"/>
          <w:szCs w:val="24"/>
          <w:lang w:eastAsia="de-DE"/>
        </w:rPr>
      </w:pPr>
      <w:r w:rsidRPr="004C6500">
        <w:rPr>
          <w:rFonts w:eastAsia="Times New Roman" w:cstheme="minorHAnsi"/>
          <w:b/>
          <w:snapToGrid w:val="0"/>
          <w:color w:val="auto"/>
          <w:sz w:val="24"/>
          <w:szCs w:val="24"/>
          <w:lang w:eastAsia="de-DE"/>
        </w:rPr>
        <w:t xml:space="preserve">Eigenmittelanforderung </w:t>
      </w:r>
      <w:r>
        <w:rPr>
          <w:rFonts w:eastAsia="Times New Roman" w:cstheme="minorHAnsi"/>
          <w:b/>
          <w:snapToGrid w:val="0"/>
          <w:color w:val="auto"/>
          <w:sz w:val="24"/>
          <w:szCs w:val="24"/>
          <w:lang w:eastAsia="de-DE"/>
        </w:rPr>
        <w:t>für das</w:t>
      </w:r>
      <w:r w:rsidRPr="004C6500">
        <w:rPr>
          <w:rFonts w:eastAsia="Times New Roman" w:cstheme="minorHAnsi"/>
          <w:b/>
          <w:snapToGrid w:val="0"/>
          <w:color w:val="auto"/>
          <w:sz w:val="24"/>
          <w:szCs w:val="24"/>
          <w:lang w:eastAsia="de-DE"/>
        </w:rPr>
        <w:t xml:space="preserve"> CVA-Risiko</w:t>
      </w:r>
      <w:r>
        <w:rPr>
          <w:rFonts w:eastAsia="Times New Roman" w:cstheme="minorHAnsi"/>
          <w:b/>
          <w:snapToGrid w:val="0"/>
          <w:color w:val="auto"/>
          <w:sz w:val="24"/>
          <w:szCs w:val="24"/>
          <w:lang w:eastAsia="de-DE"/>
        </w:rPr>
        <w:t xml:space="preserve"> gem. Art. 381 ff. CRR</w:t>
      </w:r>
    </w:p>
    <w:p w14:paraId="2E138ACC" w14:textId="05636CCC"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Eine CVA-Charge (</w:t>
      </w:r>
      <w:proofErr w:type="spellStart"/>
      <w:r w:rsidRPr="003179F8">
        <w:rPr>
          <w:rFonts w:eastAsia="Times New Roman" w:cstheme="minorHAnsi"/>
          <w:bCs/>
          <w:snapToGrid w:val="0"/>
          <w:color w:val="auto"/>
          <w:sz w:val="24"/>
          <w:szCs w:val="24"/>
          <w:lang w:eastAsia="de-DE"/>
        </w:rPr>
        <w:t>Credit</w:t>
      </w:r>
      <w:proofErr w:type="spellEnd"/>
      <w:r w:rsidRPr="003179F8">
        <w:rPr>
          <w:rFonts w:eastAsia="Times New Roman" w:cstheme="minorHAnsi"/>
          <w:bCs/>
          <w:snapToGrid w:val="0"/>
          <w:color w:val="auto"/>
          <w:sz w:val="24"/>
          <w:szCs w:val="24"/>
          <w:lang w:eastAsia="de-DE"/>
        </w:rPr>
        <w:t xml:space="preserve"> </w:t>
      </w:r>
      <w:proofErr w:type="spellStart"/>
      <w:r w:rsidRPr="003179F8">
        <w:rPr>
          <w:rFonts w:eastAsia="Times New Roman" w:cstheme="minorHAnsi"/>
          <w:bCs/>
          <w:snapToGrid w:val="0"/>
          <w:color w:val="auto"/>
          <w:sz w:val="24"/>
          <w:szCs w:val="24"/>
          <w:lang w:eastAsia="de-DE"/>
        </w:rPr>
        <w:t>Valuation</w:t>
      </w:r>
      <w:proofErr w:type="spellEnd"/>
      <w:r w:rsidRPr="003179F8">
        <w:rPr>
          <w:rFonts w:eastAsia="Times New Roman" w:cstheme="minorHAnsi"/>
          <w:bCs/>
          <w:snapToGrid w:val="0"/>
          <w:color w:val="auto"/>
          <w:sz w:val="24"/>
          <w:szCs w:val="24"/>
          <w:lang w:eastAsia="de-DE"/>
        </w:rPr>
        <w:t xml:space="preserve"> Adjustment) muss für Pensionsgeschäfte nach derzeitigem Stand (vorbehaltlich einer anderslautenden Entscheidung der BaFin) nicht angerechnet werden. Eine Anrechnung erfolgt nur, wenn die Aufsicht der Auffassung ist, dass das mit den Wertpapierpensionsgeschäften verbundene Risiko für das Institut wesentlich ist.</w:t>
      </w:r>
    </w:p>
    <w:p w14:paraId="213C28A7" w14:textId="7630891A" w:rsidR="00C8172E" w:rsidRPr="000954C2" w:rsidRDefault="00895D53" w:rsidP="00895D53">
      <w:pPr>
        <w:pStyle w:val="berschrift3"/>
        <w:rPr>
          <w:sz w:val="24"/>
          <w:szCs w:val="24"/>
          <w:lang w:eastAsia="de-DE"/>
        </w:rPr>
      </w:pPr>
      <w:bookmarkStart w:id="48" w:name="_Toc172294767"/>
      <w:r w:rsidRPr="000954C2">
        <w:rPr>
          <w:sz w:val="24"/>
          <w:szCs w:val="24"/>
          <w:lang w:eastAsia="de-DE"/>
        </w:rPr>
        <w:t>Abzugsposition aus Beteiligung</w:t>
      </w:r>
      <w:bookmarkEnd w:id="48"/>
    </w:p>
    <w:p w14:paraId="08EC355F" w14:textId="5C7315DC" w:rsidR="00895D53" w:rsidRPr="000954C2" w:rsidRDefault="00895D53" w:rsidP="00895D53">
      <w:pPr>
        <w:rPr>
          <w:sz w:val="24"/>
          <w:szCs w:val="24"/>
          <w:lang w:eastAsia="de-DE"/>
        </w:rPr>
      </w:pPr>
      <w:r w:rsidRPr="000954C2">
        <w:rPr>
          <w:sz w:val="24"/>
          <w:szCs w:val="24"/>
          <w:lang w:eastAsia="de-DE"/>
        </w:rPr>
        <w:t>nicht relevant</w:t>
      </w:r>
    </w:p>
    <w:p w14:paraId="6FFCE32F" w14:textId="4665DF78" w:rsidR="00895D53" w:rsidRPr="000954C2" w:rsidRDefault="00895D53" w:rsidP="00895D53">
      <w:pPr>
        <w:pStyle w:val="berschrift3"/>
        <w:rPr>
          <w:sz w:val="24"/>
          <w:szCs w:val="24"/>
          <w:lang w:eastAsia="de-DE"/>
        </w:rPr>
      </w:pPr>
      <w:bookmarkStart w:id="49" w:name="_Toc172294768"/>
      <w:proofErr w:type="spellStart"/>
      <w:r w:rsidRPr="000954C2">
        <w:rPr>
          <w:sz w:val="24"/>
          <w:szCs w:val="24"/>
          <w:lang w:eastAsia="de-DE"/>
        </w:rPr>
        <w:t>Geographical</w:t>
      </w:r>
      <w:proofErr w:type="spellEnd"/>
      <w:r w:rsidRPr="000954C2">
        <w:rPr>
          <w:sz w:val="24"/>
          <w:szCs w:val="24"/>
          <w:lang w:eastAsia="de-DE"/>
        </w:rPr>
        <w:t xml:space="preserve"> Breakdown / Antizyklischer Kapitalpuffer</w:t>
      </w:r>
      <w:bookmarkEnd w:id="49"/>
    </w:p>
    <w:p w14:paraId="552C0B47" w14:textId="05050625" w:rsidR="00895D53" w:rsidRPr="000954C2" w:rsidRDefault="000954C2" w:rsidP="00895D53">
      <w:pPr>
        <w:rPr>
          <w:sz w:val="24"/>
          <w:szCs w:val="24"/>
          <w:lang w:eastAsia="de-DE"/>
        </w:rPr>
      </w:pPr>
      <w:r>
        <w:rPr>
          <w:sz w:val="24"/>
          <w:szCs w:val="24"/>
          <w:lang w:eastAsia="de-DE"/>
        </w:rPr>
        <w:t xml:space="preserve">Berücksichtigung der Risikopositionen gem. dem </w:t>
      </w:r>
      <w:proofErr w:type="spellStart"/>
      <w:r>
        <w:rPr>
          <w:sz w:val="24"/>
          <w:szCs w:val="24"/>
          <w:lang w:eastAsia="de-DE"/>
        </w:rPr>
        <w:t>Sitzland</w:t>
      </w:r>
      <w:proofErr w:type="spellEnd"/>
      <w:r>
        <w:rPr>
          <w:sz w:val="24"/>
          <w:szCs w:val="24"/>
          <w:lang w:eastAsia="de-DE"/>
        </w:rPr>
        <w:t xml:space="preserve"> des Wertpapieremittenten bzw. Repo-Kontrahenten.</w:t>
      </w:r>
    </w:p>
    <w:p w14:paraId="17DB0576" w14:textId="5407B452" w:rsidR="00F14614" w:rsidRPr="000954C2" w:rsidRDefault="00F14614" w:rsidP="003179F8">
      <w:pPr>
        <w:pStyle w:val="berschrift2"/>
        <w:spacing w:before="0" w:after="100"/>
        <w:jc w:val="both"/>
        <w:rPr>
          <w:rFonts w:eastAsia="Times New Roman"/>
          <w:snapToGrid w:val="0"/>
          <w:sz w:val="24"/>
          <w:szCs w:val="24"/>
          <w:lang w:eastAsia="de-DE"/>
        </w:rPr>
      </w:pPr>
      <w:bookmarkStart w:id="50" w:name="_Toc172294769"/>
      <w:r w:rsidRPr="000954C2">
        <w:rPr>
          <w:rFonts w:eastAsia="Times New Roman"/>
          <w:snapToGrid w:val="0"/>
          <w:sz w:val="24"/>
          <w:szCs w:val="24"/>
          <w:lang w:eastAsia="de-DE"/>
        </w:rPr>
        <w:lastRenderedPageBreak/>
        <w:t>Kreditmeldewesen</w:t>
      </w:r>
      <w:bookmarkEnd w:id="50"/>
    </w:p>
    <w:p w14:paraId="7A6B5AA0" w14:textId="44A8727B" w:rsidR="00A36E84" w:rsidRPr="000954C2" w:rsidRDefault="00A36E84">
      <w:pPr>
        <w:pStyle w:val="berschrift3"/>
        <w:rPr>
          <w:bCs w:val="0"/>
          <w:sz w:val="24"/>
          <w:szCs w:val="24"/>
          <w:lang w:eastAsia="de-DE"/>
        </w:rPr>
      </w:pPr>
      <w:bookmarkStart w:id="51" w:name="_Toc172294770"/>
      <w:r w:rsidRPr="000954C2">
        <w:rPr>
          <w:bCs w:val="0"/>
          <w:sz w:val="24"/>
          <w:szCs w:val="24"/>
          <w:lang w:eastAsia="de-DE"/>
        </w:rPr>
        <w:t>Großkredit</w:t>
      </w:r>
      <w:bookmarkEnd w:id="51"/>
    </w:p>
    <w:p w14:paraId="24A5D2A0" w14:textId="39978CDA" w:rsidR="00D13E01" w:rsidRPr="00C107B2" w:rsidRDefault="00D13E01" w:rsidP="00C107B2">
      <w:pPr>
        <w:jc w:val="both"/>
        <w:rPr>
          <w:rFonts w:eastAsia="Times New Roman" w:cstheme="minorHAnsi"/>
          <w:bCs/>
          <w:snapToGrid w:val="0"/>
          <w:color w:val="auto"/>
          <w:sz w:val="24"/>
          <w:szCs w:val="24"/>
          <w:lang w:eastAsia="de-DE"/>
        </w:rPr>
      </w:pPr>
      <w:r w:rsidRPr="00C107B2">
        <w:rPr>
          <w:rFonts w:eastAsia="Times New Roman" w:cstheme="minorHAnsi"/>
          <w:bCs/>
          <w:snapToGrid w:val="0"/>
          <w:color w:val="auto"/>
          <w:sz w:val="24"/>
          <w:szCs w:val="24"/>
          <w:lang w:eastAsia="de-DE"/>
        </w:rPr>
        <w:t>Die CRR sieht keine speziellen Regelungen für die Ermittlung der Risikopositionswerte für Pensionsgeschäfte aus Sicht des Pensionsgebers vor, die dem Anlagebuch zugeordnet sind. Bei echten Pensionsgeschäften hat der Pensionsgeber sowohl den Pensionsnehmer als auch den Schuldner des Pensionsgegenstandes (Wertpapieremittent) zu berücksichtigen, da zwei Kreditverhältnisse vorliegen. Die Höhe des jeweiligen Kredites (Risikopositionswert für den Emittenten) entspricht gemäß Art. 111 Abs. 1 CRR dem nach spezifischen Kreditrisikoanpassungen, zusätzlichen Wertberichtigungen gemäß den Art. 34 und 110 CRR sowie weiteren mit der Aktivposition verknüpften Verringerungen der Eigenmittel verbleibenden Buchwert.</w:t>
      </w:r>
    </w:p>
    <w:p w14:paraId="088E0BFC" w14:textId="06036323" w:rsidR="00D13E01" w:rsidRPr="00C107B2" w:rsidRDefault="00D13E01" w:rsidP="00C107B2">
      <w:pPr>
        <w:jc w:val="both"/>
        <w:rPr>
          <w:rFonts w:eastAsia="Times New Roman" w:cstheme="minorHAnsi"/>
          <w:bCs/>
          <w:snapToGrid w:val="0"/>
          <w:color w:val="auto"/>
          <w:sz w:val="24"/>
          <w:szCs w:val="24"/>
          <w:lang w:eastAsia="de-DE"/>
        </w:rPr>
      </w:pPr>
      <w:r w:rsidRPr="00C107B2">
        <w:rPr>
          <w:rFonts w:eastAsia="Times New Roman" w:cstheme="minorHAnsi"/>
          <w:bCs/>
          <w:snapToGrid w:val="0"/>
          <w:color w:val="auto"/>
          <w:sz w:val="24"/>
          <w:szCs w:val="24"/>
          <w:lang w:eastAsia="de-DE"/>
        </w:rPr>
        <w:t>Für die Zwecke der Großkreditmeldung kann der Pensionsgeber den Risikopositionswert aus dem Repo - unter Einhaltung der Anforderungen an die Kreditrisikominderungstechniken – durch die erhaltene Sicherheit (Barsicherheit) reduzieren (Nullanrechnung gemäß Art. 400 Abs. 1 Buchstabe g CRR).</w:t>
      </w:r>
    </w:p>
    <w:p w14:paraId="2C15899F" w14:textId="77777777" w:rsidR="00D540F2" w:rsidRPr="00C107B2" w:rsidRDefault="00D13E01" w:rsidP="00C107B2">
      <w:pPr>
        <w:jc w:val="both"/>
        <w:rPr>
          <w:rFonts w:eastAsia="Times New Roman" w:cstheme="minorHAnsi"/>
          <w:bCs/>
          <w:snapToGrid w:val="0"/>
          <w:color w:val="auto"/>
          <w:sz w:val="24"/>
          <w:szCs w:val="24"/>
          <w:lang w:eastAsia="de-DE"/>
        </w:rPr>
      </w:pPr>
      <w:r w:rsidRPr="00C107B2">
        <w:rPr>
          <w:rFonts w:eastAsia="Times New Roman" w:cstheme="minorHAnsi"/>
          <w:bCs/>
          <w:snapToGrid w:val="0"/>
          <w:color w:val="auto"/>
          <w:sz w:val="24"/>
          <w:szCs w:val="24"/>
          <w:lang w:eastAsia="de-DE"/>
        </w:rPr>
        <w:t>Zudem erfolgt innerhalb der Mitglieder der BVR-Sicherungseinrichtung gemäß Art. 400 Abs. 1 Buchstabe f CRR i. V. m. Art. 113 Abs. 7 CRR keine Anrechnung auf die Großkreditobergrenze der DZ BANK AG. Die genannte Möglichkeit zur Nullanrechnung wurde seitens der Bundesanstalt für Finanzdienstleistungsaufsicht in einem Schreiben an den BVR vom 02.01.2014 genehmigt.</w:t>
      </w:r>
      <w:r w:rsidR="00D540F2" w:rsidRPr="00C107B2">
        <w:rPr>
          <w:rFonts w:eastAsia="Times New Roman" w:cstheme="minorHAnsi"/>
          <w:bCs/>
          <w:snapToGrid w:val="0"/>
          <w:color w:val="auto"/>
          <w:sz w:val="24"/>
          <w:szCs w:val="24"/>
          <w:lang w:eastAsia="de-DE"/>
        </w:rPr>
        <w:t xml:space="preserve"> </w:t>
      </w:r>
    </w:p>
    <w:p w14:paraId="4C6E7D71" w14:textId="1A65EFFF" w:rsidR="00D13E01" w:rsidRPr="00C107B2" w:rsidRDefault="00D540F2" w:rsidP="00C107B2">
      <w:pPr>
        <w:jc w:val="both"/>
        <w:rPr>
          <w:rFonts w:eastAsia="Times New Roman" w:cstheme="minorHAnsi"/>
          <w:bCs/>
          <w:snapToGrid w:val="0"/>
          <w:color w:val="auto"/>
          <w:sz w:val="24"/>
          <w:szCs w:val="24"/>
          <w:lang w:eastAsia="de-DE"/>
        </w:rPr>
      </w:pPr>
      <w:r w:rsidRPr="00C107B2">
        <w:rPr>
          <w:rFonts w:eastAsia="Times New Roman" w:cstheme="minorHAnsi"/>
          <w:bCs/>
          <w:snapToGrid w:val="0"/>
          <w:color w:val="auto"/>
          <w:sz w:val="24"/>
          <w:szCs w:val="24"/>
          <w:lang w:eastAsia="de-DE"/>
        </w:rPr>
        <w:t>Gemäß Artikel 399 CRR ist zwingend ein Gleichlauf zwischen der Berechnung der Eigenmittelanforderungen und dem Großkreditregime in Bezug auf die Nutzung von Kreditrisikominderungstechniken gefordert. Das heißt, wenn im Rahmen der Eigenmittelanforderungen eine Kreditrisikominderungstechnik genutzt wird, dann ist diese auch im Großkreditregime zu nutzen.</w:t>
      </w:r>
    </w:p>
    <w:p w14:paraId="45CF290C" w14:textId="77777777" w:rsidR="00D13E01" w:rsidRPr="00C107B2" w:rsidRDefault="00D13E01" w:rsidP="00C107B2">
      <w:pPr>
        <w:jc w:val="both"/>
        <w:rPr>
          <w:rFonts w:eastAsia="Times New Roman" w:cstheme="minorHAnsi"/>
          <w:bCs/>
          <w:snapToGrid w:val="0"/>
          <w:color w:val="auto"/>
          <w:sz w:val="24"/>
          <w:szCs w:val="24"/>
          <w:lang w:eastAsia="de-DE"/>
        </w:rPr>
      </w:pPr>
      <w:r w:rsidRPr="00C107B2">
        <w:rPr>
          <w:rFonts w:eastAsia="Times New Roman" w:cstheme="minorHAnsi"/>
          <w:bCs/>
          <w:snapToGrid w:val="0"/>
          <w:color w:val="auto"/>
          <w:sz w:val="24"/>
          <w:szCs w:val="24"/>
          <w:lang w:eastAsia="de-DE"/>
        </w:rPr>
        <w:t>[Aufgrund der ohnehin schon bestehenden Nullanrechnung der Risikoposition gegenüber der DZ BANK findet in Anlehnung an die Eigenmittelanforderungen keine Anwendung einer Kreditrisikominderung bzw. Art. 400 Abs. 1 Buchstabe g CRR statt.]</w:t>
      </w:r>
    </w:p>
    <w:p w14:paraId="4BAF2C36" w14:textId="137A7D5D" w:rsidR="00D13E01" w:rsidRPr="000954C2" w:rsidRDefault="00D13E01" w:rsidP="00C107B2">
      <w:pPr>
        <w:pStyle w:val="berschrift3"/>
        <w:rPr>
          <w:bCs w:val="0"/>
          <w:sz w:val="24"/>
          <w:szCs w:val="24"/>
          <w:lang w:eastAsia="de-DE"/>
        </w:rPr>
      </w:pPr>
      <w:bookmarkStart w:id="52" w:name="_Toc172294771"/>
      <w:r w:rsidRPr="000954C2">
        <w:rPr>
          <w:bCs w:val="0"/>
          <w:sz w:val="24"/>
          <w:szCs w:val="24"/>
          <w:lang w:eastAsia="de-DE"/>
        </w:rPr>
        <w:t>Millionenkreditvorschriften und Meldung</w:t>
      </w:r>
      <w:bookmarkEnd w:id="52"/>
    </w:p>
    <w:p w14:paraId="6B166E74"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Bei echten Pensionsgeschäften, die dem Anlagebuch zugeordnet sind,</w:t>
      </w:r>
      <w:r w:rsidRPr="003179F8">
        <w:rPr>
          <w:rStyle w:val="Funotenzeichen"/>
          <w:rFonts w:eastAsia="Times New Roman" w:cstheme="minorHAnsi"/>
          <w:bCs/>
          <w:snapToGrid w:val="0"/>
          <w:color w:val="auto"/>
          <w:sz w:val="24"/>
          <w:szCs w:val="24"/>
          <w:lang w:eastAsia="de-DE"/>
        </w:rPr>
        <w:footnoteReference w:id="5"/>
      </w:r>
      <w:r w:rsidRPr="003179F8">
        <w:rPr>
          <w:rFonts w:eastAsia="Times New Roman" w:cstheme="minorHAnsi"/>
          <w:bCs/>
          <w:snapToGrid w:val="0"/>
          <w:color w:val="auto"/>
          <w:sz w:val="24"/>
          <w:szCs w:val="24"/>
          <w:lang w:eastAsia="de-DE"/>
        </w:rPr>
        <w:t xml:space="preserve"> hat der Pensionsgeber sowohl den Pensionsnehmer (DZ BANK) als auch den Schuldner des Pensionsgegenstands (Wertpapieremittent) anzuzeigen, da zwei Kreditverhältnisse vorliegen. Die Höhe des Kredites entspricht gemäß § 12 Abs. 1 Nr. 7 GroMiKV grundsätzlich dem Buchwert der in Pension gegebenen Vermögensgegenstände. Bei den Meldungen nach § 14 KWG erfolgt die Angabe der Beträge dementsprechend in den Positionen 100,110, 116 und 160 im Meldeformat BA.</w:t>
      </w:r>
      <w:r w:rsidRPr="003179F8">
        <w:rPr>
          <w:rStyle w:val="Funotenzeichen"/>
          <w:rFonts w:eastAsia="Times New Roman" w:cstheme="minorHAnsi"/>
          <w:bCs/>
          <w:snapToGrid w:val="0"/>
          <w:color w:val="auto"/>
          <w:sz w:val="24"/>
          <w:szCs w:val="24"/>
          <w:lang w:eastAsia="de-DE"/>
        </w:rPr>
        <w:footnoteReference w:id="6"/>
      </w:r>
    </w:p>
    <w:p w14:paraId="010010BE" w14:textId="2AED56C8" w:rsidR="00B37FDC" w:rsidRPr="006E6E97" w:rsidRDefault="00B37FDC" w:rsidP="00C107B2">
      <w:pPr>
        <w:pStyle w:val="berschrift3"/>
        <w:rPr>
          <w:bCs w:val="0"/>
        </w:rPr>
      </w:pPr>
      <w:bookmarkStart w:id="53" w:name="_Toc172294772"/>
      <w:r w:rsidRPr="006E6E97">
        <w:rPr>
          <w:bCs w:val="0"/>
          <w:lang w:eastAsia="de-DE"/>
        </w:rPr>
        <w:t>BaFin-Rundschreiben 6/2016 (BA) Obergrenze für Risikopositionen gegenüber Schattenbanken</w:t>
      </w:r>
      <w:bookmarkEnd w:id="53"/>
    </w:p>
    <w:p w14:paraId="7A8EF06F" w14:textId="68E889B9" w:rsidR="00B37FDC" w:rsidRPr="00C107B2" w:rsidRDefault="00530932" w:rsidP="00C107B2">
      <w:pPr>
        <w:jc w:val="both"/>
      </w:pPr>
      <w:r w:rsidRPr="00C107B2">
        <w:rPr>
          <w:rFonts w:eastAsia="Times New Roman"/>
          <w:snapToGrid w:val="0"/>
          <w:color w:val="auto"/>
          <w:sz w:val="24"/>
          <w:szCs w:val="24"/>
          <w:lang w:eastAsia="de-DE"/>
        </w:rPr>
        <w:t>Im Rahmen eines Pensionsgeschäfts mit</w:t>
      </w:r>
      <w:r w:rsidR="00B37FDC" w:rsidRPr="00C107B2">
        <w:rPr>
          <w:rFonts w:eastAsia="Times New Roman"/>
          <w:snapToGrid w:val="0"/>
          <w:color w:val="auto"/>
          <w:sz w:val="24"/>
          <w:szCs w:val="24"/>
          <w:lang w:eastAsia="de-DE"/>
        </w:rPr>
        <w:t xml:space="preserve"> der DZ BANK AG</w:t>
      </w:r>
      <w:r w:rsidRPr="00C107B2">
        <w:rPr>
          <w:rFonts w:eastAsia="Times New Roman"/>
          <w:snapToGrid w:val="0"/>
          <w:color w:val="auto"/>
          <w:sz w:val="24"/>
          <w:szCs w:val="24"/>
          <w:lang w:eastAsia="de-DE"/>
        </w:rPr>
        <w:t xml:space="preserve"> kommt keine </w:t>
      </w:r>
      <w:r w:rsidR="0092092D" w:rsidRPr="00C107B2">
        <w:rPr>
          <w:rFonts w:eastAsia="Times New Roman"/>
          <w:snapToGrid w:val="0"/>
          <w:color w:val="auto"/>
          <w:sz w:val="24"/>
          <w:szCs w:val="24"/>
          <w:lang w:eastAsia="de-DE"/>
        </w:rPr>
        <w:t xml:space="preserve">zusätzliche </w:t>
      </w:r>
      <w:r w:rsidRPr="00C107B2">
        <w:rPr>
          <w:rFonts w:eastAsia="Times New Roman"/>
          <w:snapToGrid w:val="0"/>
          <w:color w:val="auto"/>
          <w:sz w:val="24"/>
          <w:szCs w:val="24"/>
          <w:lang w:eastAsia="de-DE"/>
        </w:rPr>
        <w:t>Relevanz auf</w:t>
      </w:r>
      <w:r w:rsidR="00B37FDC" w:rsidRPr="00C107B2">
        <w:rPr>
          <w:rFonts w:eastAsia="Times New Roman"/>
          <w:snapToGrid w:val="0"/>
          <w:color w:val="auto"/>
          <w:sz w:val="24"/>
          <w:szCs w:val="24"/>
          <w:lang w:eastAsia="de-DE"/>
        </w:rPr>
        <w:t>.</w:t>
      </w:r>
    </w:p>
    <w:p w14:paraId="60F7AD7E" w14:textId="488F2990" w:rsidR="00CA2A2F" w:rsidRPr="00895D53" w:rsidRDefault="00CA2A2F" w:rsidP="003179F8">
      <w:pPr>
        <w:jc w:val="both"/>
        <w:rPr>
          <w:rFonts w:eastAsia="Times New Roman" w:cstheme="minorHAnsi"/>
          <w:bCs/>
          <w:snapToGrid w:val="0"/>
          <w:color w:val="auto"/>
          <w:sz w:val="24"/>
          <w:szCs w:val="24"/>
          <w:lang w:eastAsia="de-DE"/>
        </w:rPr>
      </w:pPr>
    </w:p>
    <w:p w14:paraId="486D4BEB" w14:textId="60531454" w:rsidR="00F14614" w:rsidRDefault="00F14614" w:rsidP="003179F8">
      <w:pPr>
        <w:pStyle w:val="berschrift2"/>
        <w:spacing w:before="0" w:after="100"/>
        <w:jc w:val="both"/>
        <w:rPr>
          <w:rFonts w:eastAsia="Times New Roman"/>
          <w:snapToGrid w:val="0"/>
          <w:sz w:val="24"/>
          <w:szCs w:val="24"/>
          <w:lang w:eastAsia="de-DE"/>
        </w:rPr>
      </w:pPr>
      <w:bookmarkStart w:id="54" w:name="_Toc170910168"/>
      <w:bookmarkStart w:id="55" w:name="_Toc170910169"/>
      <w:bookmarkStart w:id="56" w:name="_Toc170910170"/>
      <w:bookmarkStart w:id="57" w:name="_Toc170910171"/>
      <w:bookmarkStart w:id="58" w:name="_Toc170910172"/>
      <w:bookmarkStart w:id="59" w:name="_Toc170910173"/>
      <w:bookmarkStart w:id="60" w:name="_Toc170910174"/>
      <w:bookmarkStart w:id="61" w:name="_Toc170910175"/>
      <w:bookmarkStart w:id="62" w:name="_Toc170910176"/>
      <w:bookmarkStart w:id="63" w:name="_Toc170910177"/>
      <w:bookmarkStart w:id="64" w:name="_Toc170910178"/>
      <w:bookmarkStart w:id="65" w:name="_Toc172294773"/>
      <w:bookmarkEnd w:id="54"/>
      <w:bookmarkEnd w:id="55"/>
      <w:bookmarkEnd w:id="56"/>
      <w:bookmarkEnd w:id="57"/>
      <w:bookmarkEnd w:id="58"/>
      <w:bookmarkEnd w:id="59"/>
      <w:bookmarkEnd w:id="60"/>
      <w:bookmarkEnd w:id="61"/>
      <w:bookmarkEnd w:id="62"/>
      <w:bookmarkEnd w:id="63"/>
      <w:bookmarkEnd w:id="64"/>
      <w:r w:rsidRPr="003179F8">
        <w:rPr>
          <w:rFonts w:eastAsia="Times New Roman"/>
          <w:snapToGrid w:val="0"/>
          <w:sz w:val="24"/>
          <w:szCs w:val="24"/>
          <w:lang w:eastAsia="de-DE"/>
        </w:rPr>
        <w:t>Liquiditätsmeldewesen</w:t>
      </w:r>
      <w:bookmarkEnd w:id="65"/>
    </w:p>
    <w:p w14:paraId="289AEAC6" w14:textId="72AA7072" w:rsidR="00D13E01" w:rsidRPr="000954C2" w:rsidRDefault="00D13E01" w:rsidP="004C6500">
      <w:pPr>
        <w:pStyle w:val="berschrift3"/>
        <w:rPr>
          <w:sz w:val="24"/>
          <w:szCs w:val="24"/>
          <w:lang w:eastAsia="de-DE"/>
        </w:rPr>
      </w:pPr>
      <w:bookmarkStart w:id="66" w:name="_Toc172294774"/>
      <w:proofErr w:type="spellStart"/>
      <w:r w:rsidRPr="000954C2">
        <w:rPr>
          <w:sz w:val="24"/>
          <w:szCs w:val="24"/>
          <w:lang w:eastAsia="de-DE"/>
        </w:rPr>
        <w:t>Liquidity</w:t>
      </w:r>
      <w:proofErr w:type="spellEnd"/>
      <w:r w:rsidRPr="000954C2">
        <w:rPr>
          <w:sz w:val="24"/>
          <w:szCs w:val="24"/>
          <w:lang w:eastAsia="de-DE"/>
        </w:rPr>
        <w:t xml:space="preserve"> Coverage Ratio (LCR)</w:t>
      </w:r>
      <w:bookmarkEnd w:id="66"/>
    </w:p>
    <w:p w14:paraId="692644DD" w14:textId="44768E44" w:rsidR="004B55F2" w:rsidRPr="003179F8" w:rsidRDefault="004B55F2" w:rsidP="003179F8">
      <w:pPr>
        <w:jc w:val="both"/>
        <w:rPr>
          <w:rFonts w:eastAsia="Times New Roman" w:cstheme="minorHAnsi"/>
          <w:b/>
          <w:snapToGrid w:val="0"/>
          <w:color w:val="auto"/>
          <w:sz w:val="24"/>
          <w:szCs w:val="24"/>
          <w:lang w:eastAsia="de-DE"/>
        </w:rPr>
      </w:pPr>
      <w:r w:rsidRPr="003179F8">
        <w:rPr>
          <w:rFonts w:eastAsia="Times New Roman" w:cstheme="minorHAnsi"/>
          <w:b/>
          <w:snapToGrid w:val="0"/>
          <w:color w:val="auto"/>
          <w:sz w:val="24"/>
          <w:szCs w:val="24"/>
          <w:lang w:eastAsia="de-DE"/>
        </w:rPr>
        <w:t>Pensionsgeber</w:t>
      </w:r>
    </w:p>
    <w:p w14:paraId="4BB626AB" w14:textId="70D9C9AE" w:rsidR="006C30B2" w:rsidRPr="004C6500" w:rsidRDefault="006C30B2" w:rsidP="003179F8">
      <w:pPr>
        <w:jc w:val="both"/>
        <w:rPr>
          <w:rFonts w:eastAsia="Times New Roman"/>
          <w:snapToGrid w:val="0"/>
          <w:color w:val="auto"/>
          <w:sz w:val="24"/>
          <w:szCs w:val="24"/>
          <w:u w:val="single"/>
          <w:lang w:eastAsia="de-DE"/>
        </w:rPr>
      </w:pPr>
      <w:r w:rsidRPr="004C6500">
        <w:rPr>
          <w:rFonts w:eastAsia="Times New Roman"/>
          <w:snapToGrid w:val="0"/>
          <w:color w:val="auto"/>
          <w:sz w:val="24"/>
          <w:szCs w:val="24"/>
          <w:u w:val="single"/>
          <w:lang w:eastAsia="de-DE"/>
        </w:rPr>
        <w:t>Zähler</w:t>
      </w:r>
      <w:r w:rsidR="00C349A8">
        <w:rPr>
          <w:rFonts w:eastAsia="Times New Roman"/>
          <w:snapToGrid w:val="0"/>
          <w:color w:val="auto"/>
          <w:sz w:val="24"/>
          <w:szCs w:val="24"/>
          <w:u w:val="single"/>
          <w:lang w:eastAsia="de-DE"/>
        </w:rPr>
        <w:t xml:space="preserve"> / Meldebogen C72.00 „Liquide Aktiva“</w:t>
      </w:r>
      <w:r w:rsidRPr="004C6500">
        <w:rPr>
          <w:rFonts w:eastAsia="Times New Roman"/>
          <w:snapToGrid w:val="0"/>
          <w:color w:val="auto"/>
          <w:sz w:val="24"/>
          <w:szCs w:val="24"/>
          <w:u w:val="single"/>
          <w:lang w:eastAsia="de-DE"/>
        </w:rPr>
        <w:t>:</w:t>
      </w:r>
    </w:p>
    <w:p w14:paraId="7C2CBF74" w14:textId="75CCC533"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Die im Rahmen eines Pensionsgeschäfts erhaltenen Barmittel sind in Abhängigkeit Ihrer Verwendung zu berücksichtigen.</w:t>
      </w:r>
    </w:p>
    <w:p w14:paraId="5BB9B7EE"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Die in Pension gegebenen Wertpapiere werden dagegen nicht mehr dem Bestand der liquiden Aktiva (Zähler) der LCR zugerechnet, da sie nicht mehr rechtlich und tatsächlich zu jedem Zeitpunkt der nächsten 30 Tage verfügbar sind, um durch direkten Verkauf oder ein einfaches Pensionsgeschäft an anerkannten Märkten für Pensionsgeschäfte verwertet zu werden (Art. 7 Abs. 2 LCR-Verordnung</w:t>
      </w:r>
      <w:r w:rsidRPr="003179F8" w:rsidDel="00D8472C">
        <w:rPr>
          <w:rStyle w:val="Funotenzeichen"/>
          <w:rFonts w:eastAsia="Times New Roman" w:cstheme="minorHAnsi"/>
          <w:bCs/>
          <w:snapToGrid w:val="0"/>
          <w:color w:val="auto"/>
          <w:sz w:val="24"/>
          <w:szCs w:val="24"/>
          <w:lang w:eastAsia="de-DE"/>
        </w:rPr>
        <w:footnoteReference w:id="7"/>
      </w:r>
      <w:r w:rsidRPr="003179F8">
        <w:rPr>
          <w:rFonts w:eastAsia="Times New Roman" w:cstheme="minorHAnsi"/>
          <w:bCs/>
          <w:snapToGrid w:val="0"/>
          <w:color w:val="auto"/>
          <w:sz w:val="24"/>
          <w:szCs w:val="24"/>
          <w:lang w:eastAsia="de-DE"/>
        </w:rPr>
        <w:t>) – schließlich besteht bereits ein Pensionsgeschäft über diese Papiere.</w:t>
      </w:r>
    </w:p>
    <w:p w14:paraId="693B4EC6" w14:textId="4C77F489" w:rsidR="006C30B2" w:rsidRPr="004C6500" w:rsidRDefault="006C30B2" w:rsidP="003179F8">
      <w:pPr>
        <w:jc w:val="both"/>
        <w:rPr>
          <w:rFonts w:eastAsia="Times New Roman"/>
          <w:snapToGrid w:val="0"/>
          <w:color w:val="auto"/>
          <w:sz w:val="24"/>
          <w:szCs w:val="24"/>
          <w:u w:val="single"/>
          <w:lang w:eastAsia="de-DE"/>
        </w:rPr>
      </w:pPr>
      <w:r w:rsidRPr="004C6500">
        <w:rPr>
          <w:rFonts w:eastAsia="Times New Roman"/>
          <w:snapToGrid w:val="0"/>
          <w:color w:val="auto"/>
          <w:sz w:val="24"/>
          <w:szCs w:val="24"/>
          <w:u w:val="single"/>
          <w:lang w:eastAsia="de-DE"/>
        </w:rPr>
        <w:t>Nenner</w:t>
      </w:r>
      <w:r w:rsidR="00C349A8">
        <w:rPr>
          <w:rFonts w:eastAsia="Times New Roman"/>
          <w:snapToGrid w:val="0"/>
          <w:color w:val="auto"/>
          <w:sz w:val="24"/>
          <w:szCs w:val="24"/>
          <w:u w:val="single"/>
          <w:lang w:eastAsia="de-DE"/>
        </w:rPr>
        <w:t xml:space="preserve"> / Meldebogen C73.00 „Abflüsse“</w:t>
      </w:r>
    </w:p>
    <w:p w14:paraId="7ED209C9" w14:textId="4C2E3B91" w:rsidR="004B55F2" w:rsidRPr="0070210B" w:rsidRDefault="004B55F2" w:rsidP="003179F8">
      <w:pPr>
        <w:jc w:val="both"/>
        <w:rPr>
          <w:rFonts w:eastAsia="Times New Roman"/>
          <w:snapToGrid w:val="0"/>
          <w:color w:val="auto"/>
          <w:sz w:val="24"/>
          <w:szCs w:val="24"/>
          <w:lang w:eastAsia="de-DE"/>
        </w:rPr>
      </w:pPr>
      <w:r w:rsidRPr="0070210B">
        <w:rPr>
          <w:rFonts w:eastAsia="Times New Roman"/>
          <w:snapToGrid w:val="0"/>
          <w:color w:val="auto"/>
          <w:sz w:val="24"/>
          <w:szCs w:val="24"/>
          <w:lang w:eastAsia="de-DE"/>
        </w:rPr>
        <w:t xml:space="preserve">Abflüsse für fällige Verbindlichkeiten aus „besicherten Kreditvergaben“ im Nenner der LCR ermittelt der Pensionsgeber gemäß den Vorgaben des Art. 28 Abs. 3 LCR-Verordnung. Sofern die Verbindlichkeiten innerhalb von 30 Kalendertagen fällig werden, sind diese als Abfluss zu berücksichtigen. Der Abfluss </w:t>
      </w:r>
      <w:r w:rsidR="006C30B2" w:rsidRPr="0070210B">
        <w:rPr>
          <w:rFonts w:eastAsia="Times New Roman"/>
          <w:snapToGrid w:val="0"/>
          <w:color w:val="auto"/>
          <w:sz w:val="24"/>
          <w:szCs w:val="24"/>
          <w:lang w:eastAsia="de-DE"/>
        </w:rPr>
        <w:t xml:space="preserve">(z.B. mit 0% bei Besicherung durch Vermögenswerte, die dem Level 1 zuzurechnen sind) </w:t>
      </w:r>
      <w:r w:rsidRPr="0070210B">
        <w:rPr>
          <w:rFonts w:eastAsia="Times New Roman"/>
          <w:snapToGrid w:val="0"/>
          <w:color w:val="auto"/>
          <w:sz w:val="24"/>
          <w:szCs w:val="24"/>
          <w:lang w:eastAsia="de-DE"/>
        </w:rPr>
        <w:t>ist mit vorgegebenen Sätzen zu multiplizieren (Meldebogen C73, 1020ff „Gegenpartei ist keine Zentralbank“)</w:t>
      </w:r>
      <w:r w:rsidR="006C30B2" w:rsidRPr="0070210B">
        <w:rPr>
          <w:rFonts w:eastAsia="Times New Roman"/>
          <w:snapToGrid w:val="0"/>
          <w:color w:val="auto"/>
          <w:sz w:val="24"/>
          <w:szCs w:val="24"/>
          <w:lang w:eastAsia="de-DE"/>
        </w:rPr>
        <w:t>.</w:t>
      </w:r>
    </w:p>
    <w:p w14:paraId="5ACE6C8A"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Zudem ist das Thema „</w:t>
      </w:r>
      <w:proofErr w:type="spellStart"/>
      <w:r w:rsidRPr="003179F8">
        <w:rPr>
          <w:rFonts w:eastAsia="Times New Roman" w:cstheme="minorHAnsi"/>
          <w:bCs/>
          <w:snapToGrid w:val="0"/>
          <w:color w:val="auto"/>
          <w:sz w:val="24"/>
          <w:szCs w:val="24"/>
          <w:lang w:eastAsia="de-DE"/>
        </w:rPr>
        <w:t>Unwinding</w:t>
      </w:r>
      <w:proofErr w:type="spellEnd"/>
      <w:r w:rsidRPr="003179F8">
        <w:rPr>
          <w:rFonts w:eastAsia="Times New Roman" w:cstheme="minorHAnsi"/>
          <w:bCs/>
          <w:snapToGrid w:val="0"/>
          <w:color w:val="auto"/>
          <w:sz w:val="24"/>
          <w:szCs w:val="24"/>
          <w:lang w:eastAsia="de-DE"/>
        </w:rPr>
        <w:t>“ in den letzten 30 Tagen vor Fälligkeit zu beachten (vgl. BVR-Leitfaden “</w:t>
      </w:r>
      <w:proofErr w:type="spellStart"/>
      <w:r w:rsidRPr="003179F8">
        <w:rPr>
          <w:rFonts w:eastAsia="Times New Roman" w:cstheme="minorHAnsi"/>
          <w:bCs/>
          <w:snapToGrid w:val="0"/>
          <w:color w:val="auto"/>
          <w:sz w:val="24"/>
          <w:szCs w:val="24"/>
          <w:lang w:eastAsia="de-DE"/>
        </w:rPr>
        <w:t>Unwinding</w:t>
      </w:r>
      <w:proofErr w:type="spellEnd"/>
      <w:r w:rsidRPr="003179F8">
        <w:rPr>
          <w:rFonts w:eastAsia="Times New Roman" w:cstheme="minorHAnsi"/>
          <w:bCs/>
          <w:snapToGrid w:val="0"/>
          <w:color w:val="auto"/>
          <w:sz w:val="24"/>
          <w:szCs w:val="24"/>
          <w:lang w:eastAsia="de-DE"/>
        </w:rPr>
        <w:t>“), das ggf. Auswirkungen auf den Liquiditätspuffer haben kann.</w:t>
      </w:r>
      <w:r w:rsidRPr="003179F8">
        <w:rPr>
          <w:rStyle w:val="Funotenzeichen"/>
          <w:rFonts w:eastAsia="Times New Roman" w:cstheme="minorHAnsi"/>
          <w:bCs/>
          <w:snapToGrid w:val="0"/>
          <w:color w:val="auto"/>
          <w:sz w:val="24"/>
          <w:szCs w:val="24"/>
          <w:lang w:eastAsia="de-DE"/>
        </w:rPr>
        <w:footnoteReference w:id="8"/>
      </w:r>
    </w:p>
    <w:p w14:paraId="2F1D1299" w14:textId="77777777" w:rsidR="004B55F2" w:rsidRPr="003179F8" w:rsidRDefault="004B55F2" w:rsidP="003179F8">
      <w:pPr>
        <w:jc w:val="both"/>
        <w:rPr>
          <w:rFonts w:eastAsia="Times New Roman" w:cstheme="minorHAnsi"/>
          <w:bCs/>
          <w:snapToGrid w:val="0"/>
          <w:color w:val="auto"/>
          <w:sz w:val="24"/>
          <w:szCs w:val="24"/>
          <w:lang w:eastAsia="de-DE"/>
        </w:rPr>
      </w:pPr>
    </w:p>
    <w:p w14:paraId="095F4B21" w14:textId="689A431F" w:rsidR="004B55F2" w:rsidRPr="000954C2" w:rsidRDefault="00D13E01" w:rsidP="004C6500">
      <w:pPr>
        <w:pStyle w:val="berschrift3"/>
        <w:rPr>
          <w:rFonts w:eastAsia="Times New Roman"/>
          <w:snapToGrid w:val="0"/>
          <w:sz w:val="24"/>
          <w:szCs w:val="24"/>
          <w:lang w:eastAsia="de-DE"/>
        </w:rPr>
      </w:pPr>
      <w:bookmarkStart w:id="67" w:name="_Toc172294775"/>
      <w:r w:rsidRPr="000954C2">
        <w:rPr>
          <w:rFonts w:eastAsia="Times New Roman"/>
          <w:snapToGrid w:val="0"/>
          <w:sz w:val="24"/>
          <w:szCs w:val="24"/>
          <w:lang w:eastAsia="de-DE"/>
        </w:rPr>
        <w:t xml:space="preserve">Net </w:t>
      </w:r>
      <w:proofErr w:type="spellStart"/>
      <w:r w:rsidRPr="000954C2">
        <w:rPr>
          <w:rFonts w:eastAsia="Times New Roman"/>
          <w:snapToGrid w:val="0"/>
          <w:sz w:val="24"/>
          <w:szCs w:val="24"/>
          <w:lang w:eastAsia="de-DE"/>
        </w:rPr>
        <w:t>Stable</w:t>
      </w:r>
      <w:proofErr w:type="spellEnd"/>
      <w:r w:rsidRPr="000954C2">
        <w:rPr>
          <w:rFonts w:eastAsia="Times New Roman"/>
          <w:snapToGrid w:val="0"/>
          <w:sz w:val="24"/>
          <w:szCs w:val="24"/>
          <w:lang w:eastAsia="de-DE"/>
        </w:rPr>
        <w:t xml:space="preserve"> Funding Ratio (</w:t>
      </w:r>
      <w:r w:rsidR="004B55F2" w:rsidRPr="000954C2">
        <w:rPr>
          <w:rFonts w:eastAsia="Times New Roman"/>
          <w:snapToGrid w:val="0"/>
          <w:sz w:val="24"/>
          <w:szCs w:val="24"/>
          <w:lang w:eastAsia="de-DE"/>
        </w:rPr>
        <w:t>NSFR</w:t>
      </w:r>
      <w:r w:rsidRPr="000954C2">
        <w:rPr>
          <w:rFonts w:eastAsia="Times New Roman"/>
          <w:snapToGrid w:val="0"/>
          <w:sz w:val="24"/>
          <w:szCs w:val="24"/>
          <w:lang w:eastAsia="de-DE"/>
        </w:rPr>
        <w:t>/</w:t>
      </w:r>
      <w:proofErr w:type="spellStart"/>
      <w:r w:rsidRPr="000954C2">
        <w:rPr>
          <w:rFonts w:eastAsia="Times New Roman"/>
          <w:snapToGrid w:val="0"/>
          <w:sz w:val="24"/>
          <w:szCs w:val="24"/>
          <w:lang w:eastAsia="de-DE"/>
        </w:rPr>
        <w:t>sNSFR</w:t>
      </w:r>
      <w:proofErr w:type="spellEnd"/>
      <w:r w:rsidRPr="000954C2">
        <w:rPr>
          <w:rFonts w:eastAsia="Times New Roman"/>
          <w:snapToGrid w:val="0"/>
          <w:sz w:val="24"/>
          <w:szCs w:val="24"/>
          <w:lang w:eastAsia="de-DE"/>
        </w:rPr>
        <w:t>)</w:t>
      </w:r>
      <w:bookmarkEnd w:id="67"/>
    </w:p>
    <w:p w14:paraId="1EA24FF4" w14:textId="7AAD528F" w:rsidR="00D13E01" w:rsidRPr="004C6500" w:rsidRDefault="00D13E01" w:rsidP="003179F8">
      <w:pPr>
        <w:jc w:val="both"/>
        <w:rPr>
          <w:b/>
          <w:bCs/>
          <w:sz w:val="24"/>
          <w:szCs w:val="24"/>
          <w:lang w:eastAsia="de-DE"/>
        </w:rPr>
      </w:pPr>
      <w:bookmarkStart w:id="68" w:name="_Hlk126142721"/>
      <w:r w:rsidRPr="004C6500">
        <w:rPr>
          <w:b/>
          <w:bCs/>
          <w:sz w:val="24"/>
          <w:szCs w:val="24"/>
          <w:lang w:eastAsia="de-DE"/>
        </w:rPr>
        <w:t>Pensionsgeber</w:t>
      </w:r>
    </w:p>
    <w:p w14:paraId="27D1F8C5" w14:textId="2D367E91" w:rsidR="004B55F2" w:rsidRPr="003179F8" w:rsidRDefault="004B55F2" w:rsidP="003179F8">
      <w:pPr>
        <w:jc w:val="both"/>
        <w:rPr>
          <w:sz w:val="24"/>
          <w:szCs w:val="24"/>
          <w:lang w:eastAsia="de-DE"/>
        </w:rPr>
      </w:pPr>
      <w:r w:rsidRPr="003179F8">
        <w:rPr>
          <w:sz w:val="24"/>
          <w:szCs w:val="24"/>
          <w:lang w:eastAsia="de-DE"/>
        </w:rPr>
        <w:t xml:space="preserve">Aktiva und Verbindlichkeiten aus Wertpapierfinanzierungsgeschäften, worunter auch Pensionsgeschäfte fallen, mit ein und derselben Gegenpartei werden gemäß Art. 428e CRR auf Nettobasis berechnet, sofern diese Aktiva und Verbindlichkeiten die in Art. 429b Absatz 4 festgelegten </w:t>
      </w:r>
      <w:proofErr w:type="spellStart"/>
      <w:r w:rsidRPr="003179F8">
        <w:rPr>
          <w:sz w:val="24"/>
          <w:szCs w:val="24"/>
          <w:lang w:eastAsia="de-DE"/>
        </w:rPr>
        <w:t>Nettingbedingungen</w:t>
      </w:r>
      <w:proofErr w:type="spellEnd"/>
      <w:r w:rsidRPr="003179F8">
        <w:rPr>
          <w:sz w:val="24"/>
          <w:szCs w:val="24"/>
          <w:lang w:eastAsia="de-DE"/>
        </w:rPr>
        <w:t xml:space="preserve"> erfüllen.</w:t>
      </w:r>
      <w:r w:rsidRPr="003179F8">
        <w:rPr>
          <w:rStyle w:val="Funotenzeichen"/>
          <w:sz w:val="24"/>
          <w:szCs w:val="24"/>
          <w:lang w:eastAsia="de-DE"/>
        </w:rPr>
        <w:footnoteReference w:id="9"/>
      </w:r>
      <w:r w:rsidRPr="003179F8">
        <w:rPr>
          <w:sz w:val="24"/>
          <w:szCs w:val="24"/>
          <w:lang w:eastAsia="de-DE"/>
        </w:rPr>
        <w:t xml:space="preserve"> Sofern die </w:t>
      </w:r>
      <w:proofErr w:type="spellStart"/>
      <w:r w:rsidRPr="003179F8">
        <w:rPr>
          <w:sz w:val="24"/>
          <w:szCs w:val="24"/>
          <w:lang w:eastAsia="de-DE"/>
        </w:rPr>
        <w:t>Nettingbedingungen</w:t>
      </w:r>
      <w:proofErr w:type="spellEnd"/>
      <w:r w:rsidRPr="003179F8">
        <w:rPr>
          <w:sz w:val="24"/>
          <w:szCs w:val="24"/>
          <w:lang w:eastAsia="de-DE"/>
        </w:rPr>
        <w:t xml:space="preserve"> nicht erfüllt werden, werden die beiden Positionen getrennt voneinander betrachtet.</w:t>
      </w:r>
    </w:p>
    <w:p w14:paraId="3D4177DB" w14:textId="77777777" w:rsidR="004B55F2" w:rsidRPr="003179F8" w:rsidRDefault="004B55F2" w:rsidP="003179F8">
      <w:pPr>
        <w:jc w:val="both"/>
        <w:rPr>
          <w:bCs/>
          <w:sz w:val="24"/>
          <w:szCs w:val="24"/>
          <w:lang w:eastAsia="de-DE"/>
        </w:rPr>
      </w:pPr>
      <w:r w:rsidRPr="003179F8">
        <w:rPr>
          <w:bCs/>
          <w:sz w:val="24"/>
          <w:szCs w:val="24"/>
          <w:lang w:eastAsia="de-DE"/>
        </w:rPr>
        <w:t xml:space="preserve">Die (Netto)Verbindlichkeit des Pensionsgebers aus den erhaltenen Barmitteln ist mit einem der Restlaufzeit entsprechenden anrechenbaren Faktor bei der verfügbaren stabilen Refinanzierung zu berücksichtigen. Ab einem Jahr erhält die Verbindlichkeit einen Faktor von 100%, bei mindestens 6 Monaten aber weniger als einem Jahr 50% und unter 6 Monaten 0%. Der Ausweis erfolgt im Meldebogen C 81.00, Zeile 300. </w:t>
      </w:r>
    </w:p>
    <w:p w14:paraId="139FE1AE" w14:textId="1CA7A737" w:rsidR="004B55F2" w:rsidRPr="003179F8" w:rsidRDefault="004B55F2" w:rsidP="003179F8">
      <w:pPr>
        <w:jc w:val="both"/>
        <w:rPr>
          <w:sz w:val="24"/>
          <w:szCs w:val="24"/>
          <w:lang w:eastAsia="de-DE"/>
        </w:rPr>
      </w:pPr>
      <w:r w:rsidRPr="003179F8">
        <w:rPr>
          <w:sz w:val="24"/>
          <w:szCs w:val="24"/>
          <w:lang w:eastAsia="de-DE"/>
        </w:rPr>
        <w:lastRenderedPageBreak/>
        <w:t xml:space="preserve">Das in Pension gegebene Wertpapier wird als belastet angesehen und unterliegt einem der Restlaufzeit, des Zeitraums der Belastung (Restlaufzeit des Pensionsgeschäfts) und Qualität entsprechenden Faktor bei der Bestimmung der erforderlichen stabilen Refinanzierung (Art. 428p Abs. 3 CRR). Der Ausweis </w:t>
      </w:r>
      <w:r w:rsidR="0080194E">
        <w:rPr>
          <w:sz w:val="24"/>
          <w:szCs w:val="24"/>
          <w:lang w:eastAsia="de-DE"/>
        </w:rPr>
        <w:t xml:space="preserve">als belastet </w:t>
      </w:r>
      <w:r w:rsidRPr="003179F8">
        <w:rPr>
          <w:sz w:val="24"/>
          <w:szCs w:val="24"/>
          <w:lang w:eastAsia="de-DE"/>
        </w:rPr>
        <w:t xml:space="preserve">erfolgt in der </w:t>
      </w:r>
      <w:r w:rsidR="00087015">
        <w:rPr>
          <w:sz w:val="24"/>
          <w:szCs w:val="24"/>
          <w:lang w:eastAsia="de-DE"/>
        </w:rPr>
        <w:t>Kategorie de</w:t>
      </w:r>
      <w:r w:rsidR="0080194E">
        <w:rPr>
          <w:sz w:val="24"/>
          <w:szCs w:val="24"/>
          <w:lang w:eastAsia="de-DE"/>
        </w:rPr>
        <w:t>s als Sicherheit</w:t>
      </w:r>
      <w:r w:rsidR="00087015">
        <w:rPr>
          <w:sz w:val="24"/>
          <w:szCs w:val="24"/>
          <w:lang w:eastAsia="de-DE"/>
        </w:rPr>
        <w:t xml:space="preserve"> </w:t>
      </w:r>
      <w:r w:rsidRPr="003179F8">
        <w:rPr>
          <w:sz w:val="24"/>
          <w:szCs w:val="24"/>
          <w:lang w:eastAsia="de-DE"/>
        </w:rPr>
        <w:t xml:space="preserve">gestellten </w:t>
      </w:r>
      <w:r w:rsidR="0080194E">
        <w:rPr>
          <w:sz w:val="24"/>
          <w:szCs w:val="24"/>
          <w:lang w:eastAsia="de-DE"/>
        </w:rPr>
        <w:t>Wertpapiers</w:t>
      </w:r>
      <w:r w:rsidRPr="003179F8">
        <w:rPr>
          <w:sz w:val="24"/>
          <w:szCs w:val="24"/>
          <w:lang w:eastAsia="de-DE"/>
        </w:rPr>
        <w:t xml:space="preserve"> im Meldebogen C 80.00, Zeilen </w:t>
      </w:r>
      <w:r w:rsidR="0080194E">
        <w:rPr>
          <w:sz w:val="24"/>
          <w:szCs w:val="24"/>
          <w:lang w:eastAsia="de-DE"/>
        </w:rPr>
        <w:t>0080-0610</w:t>
      </w:r>
      <w:r w:rsidR="0080194E" w:rsidRPr="003179F8">
        <w:rPr>
          <w:sz w:val="24"/>
          <w:szCs w:val="24"/>
          <w:lang w:eastAsia="de-DE"/>
        </w:rPr>
        <w:t xml:space="preserve"> </w:t>
      </w:r>
      <w:r w:rsidRPr="003179F8">
        <w:rPr>
          <w:sz w:val="24"/>
          <w:szCs w:val="24"/>
          <w:lang w:eastAsia="de-DE"/>
        </w:rPr>
        <w:t xml:space="preserve">ff. Die erhaltenen Barmittel sind unbelastet. Analoge Regelungen gelten im Rahmen der vereinfachten NSFR. </w:t>
      </w:r>
    </w:p>
    <w:bookmarkEnd w:id="68"/>
    <w:p w14:paraId="7CC00CB3" w14:textId="77777777" w:rsidR="00042590" w:rsidRPr="003179F8" w:rsidRDefault="00042590" w:rsidP="003179F8">
      <w:pPr>
        <w:jc w:val="both"/>
        <w:rPr>
          <w:sz w:val="24"/>
          <w:szCs w:val="24"/>
          <w:lang w:eastAsia="de-DE"/>
        </w:rPr>
      </w:pPr>
    </w:p>
    <w:p w14:paraId="391ED5E3" w14:textId="77777777" w:rsidR="004B55F2" w:rsidRPr="003179F8" w:rsidRDefault="004B55F2" w:rsidP="003179F8">
      <w:pPr>
        <w:jc w:val="both"/>
        <w:rPr>
          <w:sz w:val="24"/>
          <w:szCs w:val="24"/>
          <w:lang w:eastAsia="de-DE"/>
        </w:rPr>
      </w:pPr>
      <w:r w:rsidRPr="003179F8">
        <w:rPr>
          <w:sz w:val="24"/>
          <w:szCs w:val="24"/>
          <w:lang w:eastAsia="de-DE"/>
        </w:rPr>
        <w:t>Entsprechende Regelungen gelten im Rahmen der vereinfachten NSFR.</w:t>
      </w:r>
    </w:p>
    <w:p w14:paraId="6F0026A7" w14:textId="77777777" w:rsidR="004B55F2" w:rsidRPr="003179F8" w:rsidRDefault="004B55F2" w:rsidP="003179F8">
      <w:pPr>
        <w:jc w:val="both"/>
        <w:rPr>
          <w:rFonts w:eastAsia="Times New Roman" w:cstheme="minorHAnsi"/>
          <w:bCs/>
          <w:snapToGrid w:val="0"/>
          <w:color w:val="auto"/>
          <w:sz w:val="24"/>
          <w:szCs w:val="24"/>
          <w:lang w:eastAsia="de-DE"/>
        </w:rPr>
      </w:pPr>
    </w:p>
    <w:p w14:paraId="42D84617" w14:textId="4CAE3855" w:rsidR="00D13E01" w:rsidRDefault="00D13E01" w:rsidP="004C6500">
      <w:pPr>
        <w:pStyle w:val="berschrift3"/>
        <w:rPr>
          <w:rFonts w:eastAsia="Times New Roman"/>
          <w:snapToGrid w:val="0"/>
          <w:lang w:eastAsia="de-DE"/>
        </w:rPr>
      </w:pPr>
      <w:bookmarkStart w:id="70" w:name="_Toc172294776"/>
      <w:bookmarkStart w:id="71" w:name="_Hlk125106712"/>
      <w:r>
        <w:rPr>
          <w:rFonts w:eastAsia="Times New Roman"/>
          <w:snapToGrid w:val="0"/>
          <w:lang w:eastAsia="de-DE"/>
        </w:rPr>
        <w:t xml:space="preserve">Additional </w:t>
      </w:r>
      <w:proofErr w:type="spellStart"/>
      <w:r>
        <w:rPr>
          <w:rFonts w:eastAsia="Times New Roman"/>
          <w:snapToGrid w:val="0"/>
          <w:lang w:eastAsia="de-DE"/>
        </w:rPr>
        <w:t>Liquidity</w:t>
      </w:r>
      <w:proofErr w:type="spellEnd"/>
      <w:r>
        <w:rPr>
          <w:rFonts w:eastAsia="Times New Roman"/>
          <w:snapToGrid w:val="0"/>
          <w:lang w:eastAsia="de-DE"/>
        </w:rPr>
        <w:t xml:space="preserve"> Monitoring </w:t>
      </w:r>
      <w:proofErr w:type="spellStart"/>
      <w:r>
        <w:rPr>
          <w:rFonts w:eastAsia="Times New Roman"/>
          <w:snapToGrid w:val="0"/>
          <w:lang w:eastAsia="de-DE"/>
        </w:rPr>
        <w:t>Metrics</w:t>
      </w:r>
      <w:proofErr w:type="spellEnd"/>
      <w:r>
        <w:rPr>
          <w:rFonts w:eastAsia="Times New Roman"/>
          <w:snapToGrid w:val="0"/>
          <w:lang w:eastAsia="de-DE"/>
        </w:rPr>
        <w:t xml:space="preserve"> (</w:t>
      </w:r>
      <w:r w:rsidR="004B55F2" w:rsidRPr="003179F8">
        <w:rPr>
          <w:rFonts w:eastAsia="Times New Roman"/>
          <w:snapToGrid w:val="0"/>
          <w:lang w:eastAsia="de-DE"/>
        </w:rPr>
        <w:t>ALMM</w:t>
      </w:r>
      <w:r>
        <w:rPr>
          <w:rFonts w:eastAsia="Times New Roman"/>
          <w:snapToGrid w:val="0"/>
          <w:lang w:eastAsia="de-DE"/>
        </w:rPr>
        <w:t>)</w:t>
      </w:r>
      <w:bookmarkEnd w:id="70"/>
    </w:p>
    <w:p w14:paraId="73D7BDF0" w14:textId="433F7EC1" w:rsidR="004B55F2" w:rsidRPr="003179F8" w:rsidRDefault="004B55F2" w:rsidP="003179F8">
      <w:pPr>
        <w:jc w:val="both"/>
        <w:rPr>
          <w:rFonts w:eastAsia="Times New Roman" w:cstheme="minorHAnsi"/>
          <w:b/>
          <w:snapToGrid w:val="0"/>
          <w:color w:val="auto"/>
          <w:sz w:val="24"/>
          <w:szCs w:val="24"/>
          <w:lang w:eastAsia="de-DE"/>
        </w:rPr>
      </w:pPr>
      <w:r w:rsidRPr="003179F8">
        <w:rPr>
          <w:rFonts w:eastAsia="Times New Roman" w:cstheme="minorHAnsi"/>
          <w:b/>
          <w:snapToGrid w:val="0"/>
          <w:color w:val="auto"/>
          <w:sz w:val="24"/>
          <w:szCs w:val="24"/>
          <w:lang w:eastAsia="de-DE"/>
        </w:rPr>
        <w:t>Pensionsgeber</w:t>
      </w:r>
    </w:p>
    <w:bookmarkEnd w:id="71"/>
    <w:p w14:paraId="369EA855" w14:textId="40F46741"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Bei den ALMM handelt es sich um mehrere Meldebögen auf Grundlage des Art. 415 Abs. 3 </w:t>
      </w:r>
      <w:proofErr w:type="spellStart"/>
      <w:r w:rsidRPr="003179F8">
        <w:rPr>
          <w:rFonts w:eastAsia="Times New Roman" w:cstheme="minorHAnsi"/>
          <w:bCs/>
          <w:snapToGrid w:val="0"/>
          <w:color w:val="auto"/>
          <w:sz w:val="24"/>
          <w:szCs w:val="24"/>
          <w:lang w:eastAsia="de-DE"/>
        </w:rPr>
        <w:t>lit</w:t>
      </w:r>
      <w:proofErr w:type="spellEnd"/>
      <w:r w:rsidRPr="003179F8">
        <w:rPr>
          <w:rFonts w:eastAsia="Times New Roman" w:cstheme="minorHAnsi"/>
          <w:bCs/>
          <w:snapToGrid w:val="0"/>
          <w:color w:val="auto"/>
          <w:sz w:val="24"/>
          <w:szCs w:val="24"/>
          <w:lang w:eastAsia="de-DE"/>
        </w:rPr>
        <w:t>. b) CRR und der ALMM-DV</w:t>
      </w:r>
      <w:r w:rsidRPr="003179F8">
        <w:rPr>
          <w:rStyle w:val="Funotenzeichen"/>
          <w:rFonts w:eastAsia="Times New Roman" w:cstheme="minorHAnsi"/>
          <w:bCs/>
          <w:snapToGrid w:val="0"/>
          <w:color w:val="auto"/>
          <w:sz w:val="24"/>
          <w:szCs w:val="24"/>
          <w:lang w:eastAsia="de-DE"/>
        </w:rPr>
        <w:footnoteReference w:id="10"/>
      </w:r>
      <w:r w:rsidRPr="003179F8">
        <w:rPr>
          <w:rFonts w:eastAsia="Times New Roman" w:cstheme="minorHAnsi"/>
          <w:bCs/>
          <w:snapToGrid w:val="0"/>
          <w:color w:val="auto"/>
          <w:sz w:val="24"/>
          <w:szCs w:val="24"/>
          <w:lang w:eastAsia="de-DE"/>
        </w:rPr>
        <w:t>, mit denen die Aufsicht ergänzende Informationen zu</w:t>
      </w:r>
      <w:r w:rsidR="00FF43CC">
        <w:rPr>
          <w:rFonts w:eastAsia="Times New Roman" w:cstheme="minorHAnsi"/>
          <w:bCs/>
          <w:snapToGrid w:val="0"/>
          <w:color w:val="auto"/>
          <w:sz w:val="24"/>
          <w:szCs w:val="24"/>
          <w:lang w:eastAsia="de-DE"/>
        </w:rPr>
        <w:t>r Liquidität</w:t>
      </w:r>
      <w:r w:rsidRPr="003179F8">
        <w:rPr>
          <w:rFonts w:eastAsia="Times New Roman" w:cstheme="minorHAnsi"/>
          <w:bCs/>
          <w:snapToGrid w:val="0"/>
          <w:color w:val="auto"/>
          <w:sz w:val="24"/>
          <w:szCs w:val="24"/>
          <w:lang w:eastAsia="de-DE"/>
        </w:rPr>
        <w:t xml:space="preserve"> erhalten möchte.</w:t>
      </w:r>
    </w:p>
    <w:p w14:paraId="7FACA05D" w14:textId="66731A3C"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Das Kernstück der ALMM-Meldungen bildet die Liquiditätsablaufbilanz (C 66.00)</w:t>
      </w:r>
      <w:r w:rsidR="00FF43CC">
        <w:rPr>
          <w:rFonts w:eastAsia="Times New Roman" w:cstheme="minorHAnsi"/>
          <w:bCs/>
          <w:snapToGrid w:val="0"/>
          <w:color w:val="auto"/>
          <w:sz w:val="24"/>
          <w:szCs w:val="24"/>
          <w:lang w:eastAsia="de-DE"/>
        </w:rPr>
        <w:t>,</w:t>
      </w:r>
      <w:r w:rsidRPr="003179F8">
        <w:rPr>
          <w:rFonts w:eastAsia="Times New Roman" w:cstheme="minorHAnsi"/>
          <w:bCs/>
          <w:snapToGrid w:val="0"/>
          <w:color w:val="auto"/>
          <w:sz w:val="24"/>
          <w:szCs w:val="24"/>
          <w:lang w:eastAsia="de-DE"/>
        </w:rPr>
        <w:t xml:space="preserve"> </w:t>
      </w:r>
      <w:proofErr w:type="gramStart"/>
      <w:r w:rsidRPr="003179F8">
        <w:rPr>
          <w:rFonts w:eastAsia="Times New Roman" w:cstheme="minorHAnsi"/>
          <w:bCs/>
          <w:snapToGrid w:val="0"/>
          <w:color w:val="auto"/>
          <w:sz w:val="24"/>
          <w:szCs w:val="24"/>
          <w:lang w:eastAsia="de-DE"/>
        </w:rPr>
        <w:t xml:space="preserve">in </w:t>
      </w:r>
      <w:r w:rsidR="00FF43CC" w:rsidRPr="003179F8">
        <w:rPr>
          <w:rFonts w:eastAsia="Times New Roman" w:cstheme="minorHAnsi"/>
          <w:bCs/>
          <w:snapToGrid w:val="0"/>
          <w:color w:val="auto"/>
          <w:sz w:val="24"/>
          <w:szCs w:val="24"/>
          <w:lang w:eastAsia="de-DE"/>
        </w:rPr>
        <w:t>d</w:t>
      </w:r>
      <w:r w:rsidR="00FF43CC">
        <w:rPr>
          <w:rFonts w:eastAsia="Times New Roman" w:cstheme="minorHAnsi"/>
          <w:bCs/>
          <w:snapToGrid w:val="0"/>
          <w:color w:val="auto"/>
          <w:sz w:val="24"/>
          <w:szCs w:val="24"/>
          <w:lang w:eastAsia="de-DE"/>
        </w:rPr>
        <w:t>er</w:t>
      </w:r>
      <w:r w:rsidR="00FF43CC" w:rsidRPr="003179F8">
        <w:rPr>
          <w:rFonts w:eastAsia="Times New Roman" w:cstheme="minorHAnsi"/>
          <w:bCs/>
          <w:snapToGrid w:val="0"/>
          <w:color w:val="auto"/>
          <w:sz w:val="24"/>
          <w:szCs w:val="24"/>
          <w:lang w:eastAsia="de-DE"/>
        </w:rPr>
        <w:t xml:space="preserve"> </w:t>
      </w:r>
      <w:r w:rsidRPr="003179F8">
        <w:rPr>
          <w:rFonts w:eastAsia="Times New Roman" w:cstheme="minorHAnsi"/>
          <w:bCs/>
          <w:snapToGrid w:val="0"/>
          <w:color w:val="auto"/>
          <w:sz w:val="24"/>
          <w:szCs w:val="24"/>
          <w:lang w:eastAsia="de-DE"/>
        </w:rPr>
        <w:t>sämtliche vertragliche</w:t>
      </w:r>
      <w:r w:rsidR="000954C2">
        <w:rPr>
          <w:rFonts w:eastAsia="Times New Roman" w:cstheme="minorHAnsi"/>
          <w:bCs/>
          <w:snapToGrid w:val="0"/>
          <w:color w:val="auto"/>
          <w:sz w:val="24"/>
          <w:szCs w:val="24"/>
          <w:lang w:eastAsia="de-DE"/>
        </w:rPr>
        <w:t>n</w:t>
      </w:r>
      <w:r w:rsidRPr="003179F8">
        <w:rPr>
          <w:rFonts w:eastAsia="Times New Roman" w:cstheme="minorHAnsi"/>
          <w:bCs/>
          <w:snapToGrid w:val="0"/>
          <w:color w:val="auto"/>
          <w:sz w:val="24"/>
          <w:szCs w:val="24"/>
          <w:lang w:eastAsia="de-DE"/>
        </w:rPr>
        <w:t xml:space="preserve"> Zu- und Abflüsse</w:t>
      </w:r>
      <w:proofErr w:type="gramEnd"/>
      <w:r w:rsidRPr="003179F8">
        <w:rPr>
          <w:rFonts w:eastAsia="Times New Roman" w:cstheme="minorHAnsi"/>
          <w:bCs/>
          <w:snapToGrid w:val="0"/>
          <w:color w:val="auto"/>
          <w:sz w:val="24"/>
          <w:szCs w:val="24"/>
          <w:lang w:eastAsia="de-DE"/>
        </w:rPr>
        <w:t xml:space="preserve"> sowie der Bestand der - nach ALMM-Definitionen - liquiden Aktiva (CBC - </w:t>
      </w:r>
      <w:proofErr w:type="spellStart"/>
      <w:r w:rsidRPr="003179F8">
        <w:rPr>
          <w:rFonts w:eastAsia="Times New Roman" w:cstheme="minorHAnsi"/>
          <w:bCs/>
          <w:snapToGrid w:val="0"/>
          <w:color w:val="auto"/>
          <w:sz w:val="24"/>
          <w:szCs w:val="24"/>
          <w:lang w:eastAsia="de-DE"/>
        </w:rPr>
        <w:t>counterbalancing</w:t>
      </w:r>
      <w:proofErr w:type="spellEnd"/>
      <w:r w:rsidRPr="003179F8">
        <w:rPr>
          <w:rFonts w:eastAsia="Times New Roman" w:cstheme="minorHAnsi"/>
          <w:bCs/>
          <w:snapToGrid w:val="0"/>
          <w:color w:val="auto"/>
          <w:sz w:val="24"/>
          <w:szCs w:val="24"/>
          <w:lang w:eastAsia="de-DE"/>
        </w:rPr>
        <w:t xml:space="preserve"> </w:t>
      </w:r>
      <w:proofErr w:type="spellStart"/>
      <w:r w:rsidRPr="003179F8">
        <w:rPr>
          <w:rFonts w:eastAsia="Times New Roman" w:cstheme="minorHAnsi"/>
          <w:bCs/>
          <w:snapToGrid w:val="0"/>
          <w:color w:val="auto"/>
          <w:sz w:val="24"/>
          <w:szCs w:val="24"/>
          <w:lang w:eastAsia="de-DE"/>
        </w:rPr>
        <w:t>capacity</w:t>
      </w:r>
      <w:proofErr w:type="spellEnd"/>
      <w:r w:rsidRPr="003179F8">
        <w:rPr>
          <w:rFonts w:eastAsia="Times New Roman" w:cstheme="minorHAnsi"/>
          <w:bCs/>
          <w:snapToGrid w:val="0"/>
          <w:color w:val="auto"/>
          <w:sz w:val="24"/>
          <w:szCs w:val="24"/>
          <w:lang w:eastAsia="de-DE"/>
        </w:rPr>
        <w:t xml:space="preserve">) </w:t>
      </w:r>
      <w:r w:rsidR="00FF43CC">
        <w:rPr>
          <w:rFonts w:eastAsia="Times New Roman" w:cstheme="minorHAnsi"/>
          <w:bCs/>
          <w:snapToGrid w:val="0"/>
          <w:color w:val="auto"/>
          <w:sz w:val="24"/>
          <w:szCs w:val="24"/>
          <w:lang w:eastAsia="de-DE"/>
        </w:rPr>
        <w:t>erfasst werden</w:t>
      </w:r>
      <w:r w:rsidRPr="003179F8">
        <w:rPr>
          <w:rFonts w:eastAsia="Times New Roman" w:cstheme="minorHAnsi"/>
          <w:bCs/>
          <w:snapToGrid w:val="0"/>
          <w:color w:val="auto"/>
          <w:sz w:val="24"/>
          <w:szCs w:val="24"/>
          <w:lang w:eastAsia="de-DE"/>
        </w:rPr>
        <w:t xml:space="preserve">. </w:t>
      </w:r>
    </w:p>
    <w:p w14:paraId="1C9107AC"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Die weiteren Meldebögen (C 67.00 bis C 71.00) sind seit April 2016 monatlich bzw. vierteljährlich (bei Erfüllung der Kriterien des Art. 1 Nr. 2 ALMM-DV) bei der Aufsicht einzureichen. Ab 11. Juli 2023 entfällt die Einreichung der Meldebögen C 68.00 bis C 70.00 für kleine, nicht komplexe Institute.</w:t>
      </w:r>
      <w:r w:rsidRPr="003179F8">
        <w:rPr>
          <w:rStyle w:val="Funotenzeichen"/>
          <w:rFonts w:eastAsia="Times New Roman" w:cstheme="minorHAnsi"/>
          <w:bCs/>
          <w:snapToGrid w:val="0"/>
          <w:color w:val="auto"/>
          <w:sz w:val="24"/>
          <w:szCs w:val="24"/>
          <w:lang w:eastAsia="de-DE"/>
        </w:rPr>
        <w:footnoteReference w:id="11"/>
      </w:r>
      <w:r w:rsidRPr="003179F8">
        <w:rPr>
          <w:rFonts w:eastAsia="Times New Roman" w:cstheme="minorHAnsi"/>
          <w:bCs/>
          <w:snapToGrid w:val="0"/>
          <w:color w:val="auto"/>
          <w:sz w:val="24"/>
          <w:szCs w:val="24"/>
          <w:lang w:eastAsia="de-DE"/>
        </w:rPr>
        <w:t xml:space="preserve"> Mittelgroße Institute dürfen auf die Einreichung des Meldebogens C 70.00 verzichten.</w:t>
      </w:r>
      <w:r w:rsidRPr="003179F8">
        <w:rPr>
          <w:rStyle w:val="Funotenzeichen"/>
          <w:rFonts w:eastAsia="Times New Roman" w:cstheme="minorHAnsi"/>
          <w:bCs/>
          <w:snapToGrid w:val="0"/>
          <w:color w:val="auto"/>
          <w:sz w:val="24"/>
          <w:szCs w:val="24"/>
          <w:lang w:eastAsia="de-DE"/>
        </w:rPr>
        <w:footnoteReference w:id="12"/>
      </w:r>
      <w:r w:rsidRPr="003179F8">
        <w:rPr>
          <w:rFonts w:eastAsia="Times New Roman" w:cstheme="minorHAnsi"/>
          <w:bCs/>
          <w:snapToGrid w:val="0"/>
          <w:color w:val="auto"/>
          <w:sz w:val="24"/>
          <w:szCs w:val="24"/>
          <w:lang w:eastAsia="de-DE"/>
        </w:rPr>
        <w:t xml:space="preserve"> </w:t>
      </w:r>
    </w:p>
    <w:p w14:paraId="02E01CF1"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Im Rahmen der ALMM stellen Repos für den Pensionsgeber erhaltene besicherte Refinanzierungsgeschäfte dar.</w:t>
      </w:r>
    </w:p>
    <w:p w14:paraId="6AC2F9A7" w14:textId="46BFC229"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Handelt es sich bei den in Pension gegebenen Wertpapieren um liquide Aktiva der CBC</w:t>
      </w:r>
      <w:r w:rsidR="00C1756A">
        <w:rPr>
          <w:rFonts w:eastAsia="Times New Roman" w:cstheme="minorHAnsi"/>
          <w:bCs/>
          <w:snapToGrid w:val="0"/>
          <w:color w:val="auto"/>
          <w:sz w:val="24"/>
          <w:szCs w:val="24"/>
          <w:lang w:eastAsia="de-DE"/>
        </w:rPr>
        <w:t>,</w:t>
      </w:r>
      <w:r w:rsidRPr="003179F8">
        <w:rPr>
          <w:rFonts w:eastAsia="Times New Roman" w:cstheme="minorHAnsi"/>
          <w:bCs/>
          <w:snapToGrid w:val="0"/>
          <w:color w:val="auto"/>
          <w:sz w:val="24"/>
          <w:szCs w:val="24"/>
          <w:lang w:eastAsia="de-DE"/>
        </w:rPr>
        <w:t xml:space="preserve"> kann dies zu Veränderungen bei der Meldung der CBC-Konzentrationen nach Gegenparteien (C 71.00) führen. Die in Pension gegebenen Papiere sind in diesem Fall nicht mehr dem CBC-Bestand zuzurechnen und somit auch nicht mehr für </w:t>
      </w:r>
      <w:r w:rsidR="00BF4699">
        <w:rPr>
          <w:rFonts w:eastAsia="Times New Roman" w:cstheme="minorHAnsi"/>
          <w:bCs/>
          <w:snapToGrid w:val="0"/>
          <w:color w:val="auto"/>
          <w:sz w:val="24"/>
          <w:szCs w:val="24"/>
          <w:lang w:eastAsia="de-DE"/>
        </w:rPr>
        <w:t xml:space="preserve">die </w:t>
      </w:r>
      <w:r w:rsidRPr="003179F8">
        <w:rPr>
          <w:rFonts w:eastAsia="Times New Roman" w:cstheme="minorHAnsi"/>
          <w:bCs/>
          <w:snapToGrid w:val="0"/>
          <w:color w:val="auto"/>
          <w:sz w:val="24"/>
          <w:szCs w:val="24"/>
          <w:lang w:eastAsia="de-DE"/>
        </w:rPr>
        <w:t>Ermittlung der zehn größten aktivischen Gegenparteien und deren Meldung zu berücksichtigen.</w:t>
      </w:r>
    </w:p>
    <w:p w14:paraId="54F06D09" w14:textId="0137C19F"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Spiegelbildlich sind die erhaltenen Refinanzierungsmittel bei der Ermittlung der Refinanzierungskonzentrationen zu berücksichtigen</w:t>
      </w:r>
      <w:r w:rsidR="00BF4699">
        <w:rPr>
          <w:rFonts w:eastAsia="Times New Roman" w:cstheme="minorHAnsi"/>
          <w:bCs/>
          <w:snapToGrid w:val="0"/>
          <w:color w:val="auto"/>
          <w:sz w:val="24"/>
          <w:szCs w:val="24"/>
          <w:lang w:eastAsia="de-DE"/>
        </w:rPr>
        <w:t>, z</w:t>
      </w:r>
      <w:r w:rsidRPr="003179F8">
        <w:rPr>
          <w:rFonts w:eastAsia="Times New Roman" w:cstheme="minorHAnsi"/>
          <w:bCs/>
          <w:snapToGrid w:val="0"/>
          <w:color w:val="auto"/>
          <w:sz w:val="24"/>
          <w:szCs w:val="24"/>
          <w:lang w:eastAsia="de-DE"/>
        </w:rPr>
        <w:t xml:space="preserve">um einen bei der Ermittlung der „Refinanzierungskonzentrationen nach bedeutenden Geschäftspartnern“ (C 67.00) und zum anderen bei der Ermittlung der „Refinanzierungskonzentrationen nach Produkttypen“ (C 68.00). Des Weiteren sind Repo-Transaktionen in die Meldungen der Refinanzierungskosten (C 69.00 – </w:t>
      </w:r>
      <w:proofErr w:type="spellStart"/>
      <w:r w:rsidRPr="003179F8">
        <w:rPr>
          <w:rFonts w:eastAsia="Times New Roman" w:cstheme="minorHAnsi"/>
          <w:bCs/>
          <w:snapToGrid w:val="0"/>
          <w:color w:val="auto"/>
          <w:sz w:val="24"/>
          <w:szCs w:val="24"/>
          <w:lang w:eastAsia="de-DE"/>
        </w:rPr>
        <w:t>funding</w:t>
      </w:r>
      <w:proofErr w:type="spellEnd"/>
      <w:r w:rsidRPr="003179F8">
        <w:rPr>
          <w:rFonts w:eastAsia="Times New Roman" w:cstheme="minorHAnsi"/>
          <w:bCs/>
          <w:snapToGrid w:val="0"/>
          <w:color w:val="auto"/>
          <w:sz w:val="24"/>
          <w:szCs w:val="24"/>
          <w:lang w:eastAsia="de-DE"/>
        </w:rPr>
        <w:t xml:space="preserve"> </w:t>
      </w:r>
      <w:proofErr w:type="spellStart"/>
      <w:r w:rsidRPr="003179F8">
        <w:rPr>
          <w:rFonts w:eastAsia="Times New Roman" w:cstheme="minorHAnsi"/>
          <w:bCs/>
          <w:snapToGrid w:val="0"/>
          <w:color w:val="auto"/>
          <w:sz w:val="24"/>
          <w:szCs w:val="24"/>
          <w:lang w:eastAsia="de-DE"/>
        </w:rPr>
        <w:t>spreads</w:t>
      </w:r>
      <w:proofErr w:type="spellEnd"/>
      <w:r w:rsidRPr="003179F8">
        <w:rPr>
          <w:rFonts w:eastAsia="Times New Roman" w:cstheme="minorHAnsi"/>
          <w:bCs/>
          <w:snapToGrid w:val="0"/>
          <w:color w:val="auto"/>
          <w:sz w:val="24"/>
          <w:szCs w:val="24"/>
          <w:lang w:eastAsia="de-DE"/>
        </w:rPr>
        <w:t>) und der kurzfristigen Refinanzierungsplanung (C 70.00 – roll-</w:t>
      </w:r>
      <w:proofErr w:type="spellStart"/>
      <w:r w:rsidRPr="003179F8">
        <w:rPr>
          <w:rFonts w:eastAsia="Times New Roman" w:cstheme="minorHAnsi"/>
          <w:bCs/>
          <w:snapToGrid w:val="0"/>
          <w:color w:val="auto"/>
          <w:sz w:val="24"/>
          <w:szCs w:val="24"/>
          <w:lang w:eastAsia="de-DE"/>
        </w:rPr>
        <w:t>over</w:t>
      </w:r>
      <w:proofErr w:type="spellEnd"/>
      <w:r w:rsidRPr="003179F8">
        <w:rPr>
          <w:rFonts w:eastAsia="Times New Roman" w:cstheme="minorHAnsi"/>
          <w:bCs/>
          <w:snapToGrid w:val="0"/>
          <w:color w:val="auto"/>
          <w:sz w:val="24"/>
          <w:szCs w:val="24"/>
          <w:lang w:eastAsia="de-DE"/>
        </w:rPr>
        <w:t>) einzubeziehen.</w:t>
      </w:r>
    </w:p>
    <w:p w14:paraId="6E3FBBFF" w14:textId="77777777" w:rsidR="004B55F2" w:rsidRPr="003179F8" w:rsidRDefault="004B55F2" w:rsidP="003179F8">
      <w:pPr>
        <w:jc w:val="both"/>
        <w:rPr>
          <w:sz w:val="24"/>
          <w:szCs w:val="24"/>
          <w:lang w:eastAsia="de-DE"/>
        </w:rPr>
      </w:pPr>
    </w:p>
    <w:p w14:paraId="24065E39" w14:textId="67E3D383" w:rsidR="00F14614" w:rsidRDefault="00F14614" w:rsidP="003179F8">
      <w:pPr>
        <w:pStyle w:val="berschrift2"/>
        <w:spacing w:before="0" w:after="100"/>
        <w:jc w:val="both"/>
        <w:rPr>
          <w:rFonts w:eastAsia="Times New Roman"/>
          <w:snapToGrid w:val="0"/>
          <w:sz w:val="24"/>
          <w:szCs w:val="24"/>
          <w:lang w:eastAsia="de-DE"/>
        </w:rPr>
      </w:pPr>
      <w:bookmarkStart w:id="72" w:name="_Toc172294777"/>
      <w:r w:rsidRPr="003179F8">
        <w:rPr>
          <w:rFonts w:eastAsia="Times New Roman"/>
          <w:snapToGrid w:val="0"/>
          <w:sz w:val="24"/>
          <w:szCs w:val="24"/>
          <w:lang w:eastAsia="de-DE"/>
        </w:rPr>
        <w:lastRenderedPageBreak/>
        <w:t>Bilanzstatistisches Meldewesen</w:t>
      </w:r>
      <w:bookmarkEnd w:id="72"/>
    </w:p>
    <w:p w14:paraId="6904BC27" w14:textId="036308EB" w:rsidR="00D13E01" w:rsidRPr="004C6500" w:rsidRDefault="00D13E01" w:rsidP="004C6500">
      <w:pPr>
        <w:pStyle w:val="berschrift3"/>
        <w:rPr>
          <w:lang w:eastAsia="de-DE"/>
        </w:rPr>
      </w:pPr>
      <w:bookmarkStart w:id="73" w:name="_Toc172294778"/>
      <w:proofErr w:type="spellStart"/>
      <w:r>
        <w:rPr>
          <w:lang w:eastAsia="de-DE"/>
        </w:rPr>
        <w:t>Bista</w:t>
      </w:r>
      <w:bookmarkEnd w:id="73"/>
      <w:proofErr w:type="spellEnd"/>
    </w:p>
    <w:p w14:paraId="04293C03"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Die folgenden Positionen der monatlichen Meldung zur Bilanzstatistik sind relevant für Repos, die mit dem Kontrahenten DZ BANK abgeschlossen werden. Bei Repo-Geschäften mit Nichtbanken sind andere Positionen anzusprechen.</w:t>
      </w:r>
    </w:p>
    <w:p w14:paraId="3CF000A7" w14:textId="77777777" w:rsidR="004B55F2" w:rsidRPr="003179F8" w:rsidRDefault="004B55F2" w:rsidP="003179F8">
      <w:pPr>
        <w:pStyle w:val="Listenabsatz"/>
        <w:numPr>
          <w:ilvl w:val="0"/>
          <w:numId w:val="18"/>
        </w:num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Hauptvordrucke zu Aktiva (HV11 und HV12)</w:t>
      </w:r>
    </w:p>
    <w:p w14:paraId="5E55DE08" w14:textId="77777777" w:rsidR="004B55F2" w:rsidRPr="003179F8" w:rsidRDefault="004B55F2" w:rsidP="003179F8">
      <w:pPr>
        <w:pStyle w:val="Listenabsatz"/>
        <w:numPr>
          <w:ilvl w:val="1"/>
          <w:numId w:val="18"/>
        </w:num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HV 11, Position 061 Buchforderungen an Banken (MFIs): </w:t>
      </w:r>
    </w:p>
    <w:p w14:paraId="1F33D12B" w14:textId="590EC77F" w:rsidR="004B55F2" w:rsidRPr="003179F8" w:rsidRDefault="004B55F2" w:rsidP="003179F8">
      <w:pPr>
        <w:pStyle w:val="Listenabsatz"/>
        <w:ind w:left="1440"/>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Zu den Buchforderungen an Banken gehören auch Forderungen aus echten Pensionsgeschäften</w:t>
      </w:r>
    </w:p>
    <w:p w14:paraId="21EC268E" w14:textId="77777777" w:rsidR="004B55F2" w:rsidRPr="003179F8" w:rsidRDefault="004B55F2" w:rsidP="003179F8">
      <w:pPr>
        <w:pStyle w:val="Listenabsatz"/>
        <w:numPr>
          <w:ilvl w:val="0"/>
          <w:numId w:val="18"/>
        </w:num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Hauptvordrucke zu Passiva (HV21 und HV22)</w:t>
      </w:r>
    </w:p>
    <w:p w14:paraId="7B8FD772" w14:textId="77777777" w:rsidR="004B55F2" w:rsidRPr="003179F8" w:rsidRDefault="004B55F2" w:rsidP="003179F8">
      <w:pPr>
        <w:pStyle w:val="Listenabsatz"/>
        <w:numPr>
          <w:ilvl w:val="1"/>
          <w:numId w:val="18"/>
        </w:num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HV21, Position 210 Verbindlichkeiten gegenüber Banken (MFIs): </w:t>
      </w:r>
    </w:p>
    <w:p w14:paraId="584923A7" w14:textId="77777777" w:rsidR="004B55F2" w:rsidRPr="003179F8" w:rsidRDefault="004B55F2" w:rsidP="003179F8">
      <w:pPr>
        <w:pStyle w:val="Listenabsatz"/>
        <w:ind w:left="1440"/>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Verbindlichkeiten aus echten Pensionsgeschäften</w:t>
      </w:r>
    </w:p>
    <w:p w14:paraId="08E9A599" w14:textId="77777777" w:rsidR="004B55F2" w:rsidRPr="003179F8" w:rsidRDefault="004B55F2" w:rsidP="003179F8">
      <w:pPr>
        <w:pStyle w:val="Listenabsatz"/>
        <w:numPr>
          <w:ilvl w:val="1"/>
          <w:numId w:val="18"/>
        </w:num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HV22, Positionen HV22/401 und HV22/402: </w:t>
      </w:r>
    </w:p>
    <w:p w14:paraId="06828F97" w14:textId="77777777" w:rsidR="004B55F2" w:rsidRPr="003179F8" w:rsidRDefault="004B55F2" w:rsidP="003179F8">
      <w:pPr>
        <w:pStyle w:val="Listenabsatz"/>
        <w:ind w:left="1440"/>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Hier sind die Beträge aus den Positionen HV21/210 auszuweisen, die Geldaufnahme gegen Sicherheitsleistung darstellen; dazu gehört die Geldaufnahme aus echten Pensionsgeschäften (mit dem für die Übertragung erhaltenen Betrag anzusetzen)</w:t>
      </w:r>
    </w:p>
    <w:p w14:paraId="59CB3F63" w14:textId="77777777" w:rsidR="004B55F2" w:rsidRPr="003179F8" w:rsidRDefault="004B55F2" w:rsidP="003179F8">
      <w:pPr>
        <w:pStyle w:val="Listenabsatz"/>
        <w:numPr>
          <w:ilvl w:val="0"/>
          <w:numId w:val="18"/>
        </w:num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Anlage A2 Verbindlichkeiten gegenüber Banken (MFIs)</w:t>
      </w:r>
    </w:p>
    <w:p w14:paraId="654BA742" w14:textId="77777777" w:rsidR="004B55F2" w:rsidRPr="003179F8" w:rsidRDefault="004B55F2" w:rsidP="003179F8">
      <w:pPr>
        <w:pStyle w:val="Listenabsatz"/>
        <w:numPr>
          <w:ilvl w:val="1"/>
          <w:numId w:val="18"/>
        </w:num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Position 116 Zuständige Landesbank / </w:t>
      </w:r>
      <w:proofErr w:type="spellStart"/>
      <w:r w:rsidRPr="003179F8">
        <w:rPr>
          <w:rFonts w:eastAsia="Times New Roman" w:cstheme="minorHAnsi"/>
          <w:bCs/>
          <w:snapToGrid w:val="0"/>
          <w:color w:val="auto"/>
          <w:sz w:val="24"/>
          <w:szCs w:val="24"/>
          <w:lang w:eastAsia="de-DE"/>
        </w:rPr>
        <w:t>Genossenschaftl</w:t>
      </w:r>
      <w:proofErr w:type="spellEnd"/>
      <w:r w:rsidRPr="003179F8">
        <w:rPr>
          <w:rFonts w:eastAsia="Times New Roman" w:cstheme="minorHAnsi"/>
          <w:bCs/>
          <w:snapToGrid w:val="0"/>
          <w:color w:val="auto"/>
          <w:sz w:val="24"/>
          <w:szCs w:val="24"/>
          <w:lang w:eastAsia="de-DE"/>
        </w:rPr>
        <w:t xml:space="preserve">. Zentralbank / Angeschlossene Sparkassen / Kreditgenossenschaften; darunter: Verbindlichkeiten aus </w:t>
      </w:r>
      <w:proofErr w:type="spellStart"/>
      <w:r w:rsidRPr="003179F8">
        <w:rPr>
          <w:rFonts w:eastAsia="Times New Roman" w:cstheme="minorHAnsi"/>
          <w:bCs/>
          <w:snapToGrid w:val="0"/>
          <w:color w:val="auto"/>
          <w:sz w:val="24"/>
          <w:szCs w:val="24"/>
          <w:lang w:eastAsia="de-DE"/>
        </w:rPr>
        <w:t>Repurchase</w:t>
      </w:r>
      <w:proofErr w:type="spellEnd"/>
      <w:r w:rsidRPr="003179F8">
        <w:rPr>
          <w:rFonts w:eastAsia="Times New Roman" w:cstheme="minorHAnsi"/>
          <w:bCs/>
          <w:snapToGrid w:val="0"/>
          <w:color w:val="auto"/>
          <w:sz w:val="24"/>
          <w:szCs w:val="24"/>
          <w:lang w:eastAsia="de-DE"/>
        </w:rPr>
        <w:t xml:space="preserve"> Agreements (Repos): </w:t>
      </w:r>
    </w:p>
    <w:p w14:paraId="225C7734" w14:textId="77777777" w:rsidR="004B55F2" w:rsidRPr="003179F8" w:rsidRDefault="004B55F2" w:rsidP="003179F8">
      <w:pPr>
        <w:pStyle w:val="Listenabsatz"/>
        <w:ind w:left="1428"/>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Hier sind die Verbindlichkeiten gegenüber Banken aus echten Pensionsgeschäften und aus gegen Geldsicherheiten betriebenen Wertpapier- und Edelmetall-Leihgeschäften in Höhe der für die Übertragungen erhaltenen Beträge gesondert auszuweisen.</w:t>
      </w:r>
    </w:p>
    <w:p w14:paraId="1325145F" w14:textId="77777777" w:rsidR="0061776F" w:rsidRDefault="0061776F" w:rsidP="0061776F">
      <w:pPr>
        <w:jc w:val="both"/>
        <w:rPr>
          <w:b/>
          <w:bCs/>
          <w:sz w:val="24"/>
          <w:szCs w:val="24"/>
          <w:lang w:eastAsia="de-DE"/>
        </w:rPr>
      </w:pPr>
    </w:p>
    <w:p w14:paraId="1194EA56" w14:textId="1F2CAD6E" w:rsidR="0061776F" w:rsidRPr="00F21DE2" w:rsidRDefault="0061776F" w:rsidP="0061776F">
      <w:pPr>
        <w:jc w:val="both"/>
        <w:rPr>
          <w:b/>
          <w:bCs/>
          <w:sz w:val="24"/>
          <w:szCs w:val="24"/>
          <w:lang w:eastAsia="de-DE"/>
        </w:rPr>
      </w:pPr>
      <w:r w:rsidRPr="00F21DE2">
        <w:rPr>
          <w:b/>
          <w:bCs/>
          <w:sz w:val="24"/>
          <w:szCs w:val="24"/>
          <w:lang w:eastAsia="de-DE"/>
        </w:rPr>
        <w:t>Geldmarktstatistik</w:t>
      </w:r>
      <w:r>
        <w:rPr>
          <w:b/>
          <w:bCs/>
          <w:sz w:val="24"/>
          <w:szCs w:val="24"/>
          <w:lang w:eastAsia="de-DE"/>
        </w:rPr>
        <w:t xml:space="preserve"> (nur relevant für ausgewählte betroffene Institute)</w:t>
      </w:r>
    </w:p>
    <w:p w14:paraId="18EE9786" w14:textId="77777777" w:rsidR="0061776F" w:rsidRDefault="0061776F" w:rsidP="0061776F">
      <w:pPr>
        <w:jc w:val="both"/>
        <w:rPr>
          <w:sz w:val="24"/>
          <w:szCs w:val="24"/>
          <w:lang w:eastAsia="de-DE"/>
        </w:rPr>
      </w:pPr>
      <w:r>
        <w:rPr>
          <w:sz w:val="24"/>
          <w:szCs w:val="24"/>
          <w:lang w:eastAsia="de-DE"/>
        </w:rPr>
        <w:t>In der Geldmarktstatistik sind a</w:t>
      </w:r>
      <w:r w:rsidRPr="001F5A44">
        <w:rPr>
          <w:sz w:val="24"/>
          <w:szCs w:val="24"/>
          <w:lang w:eastAsia="de-DE"/>
        </w:rPr>
        <w:t xml:space="preserve">lle relevanten Transaktionen im besicherten Geldmarkt an die Deutsche Bundesbank zu melden. Hierzu zählen alle </w:t>
      </w:r>
      <w:proofErr w:type="spellStart"/>
      <w:r w:rsidRPr="001F5A44">
        <w:rPr>
          <w:sz w:val="24"/>
          <w:szCs w:val="24"/>
          <w:lang w:eastAsia="de-DE"/>
        </w:rPr>
        <w:t>Repogeschäfte</w:t>
      </w:r>
      <w:proofErr w:type="spellEnd"/>
      <w:r w:rsidRPr="001F5A44">
        <w:rPr>
          <w:sz w:val="24"/>
          <w:szCs w:val="24"/>
          <w:lang w:eastAsia="de-DE"/>
        </w:rPr>
        <w:t xml:space="preserve"> mit festen Laufzeiten </w:t>
      </w:r>
      <w:r>
        <w:rPr>
          <w:sz w:val="24"/>
          <w:szCs w:val="24"/>
          <w:lang w:eastAsia="de-DE"/>
        </w:rPr>
        <w:t xml:space="preserve">(Regelfall im Verbund) sowie weitere </w:t>
      </w:r>
      <w:proofErr w:type="spellStart"/>
      <w:r>
        <w:rPr>
          <w:sz w:val="24"/>
          <w:szCs w:val="24"/>
          <w:lang w:eastAsia="de-DE"/>
        </w:rPr>
        <w:t>Repovarianten</w:t>
      </w:r>
      <w:proofErr w:type="spellEnd"/>
      <w:r>
        <w:rPr>
          <w:sz w:val="24"/>
          <w:szCs w:val="24"/>
          <w:lang w:eastAsia="de-DE"/>
        </w:rPr>
        <w:t xml:space="preserve"> </w:t>
      </w:r>
      <w:r w:rsidRPr="001F5A44">
        <w:rPr>
          <w:sz w:val="24"/>
          <w:szCs w:val="24"/>
          <w:lang w:eastAsia="de-DE"/>
        </w:rPr>
        <w:t>mit einer Ursprungslaufzeit bis einschließlich 397 Tage nach dem Abwicklungstag.</w:t>
      </w:r>
    </w:p>
    <w:p w14:paraId="2A364319" w14:textId="01F6A3AD" w:rsidR="004B55F2" w:rsidRDefault="004B55F2" w:rsidP="003179F8">
      <w:pPr>
        <w:jc w:val="both"/>
        <w:rPr>
          <w:sz w:val="24"/>
          <w:szCs w:val="24"/>
          <w:lang w:eastAsia="de-DE"/>
        </w:rPr>
      </w:pPr>
    </w:p>
    <w:p w14:paraId="173094FF" w14:textId="609A6EB3" w:rsidR="00D13E01" w:rsidRDefault="00D13E01" w:rsidP="004C6500">
      <w:pPr>
        <w:pStyle w:val="berschrift3"/>
        <w:rPr>
          <w:lang w:eastAsia="de-DE"/>
        </w:rPr>
      </w:pPr>
      <w:bookmarkStart w:id="74" w:name="_Toc172294779"/>
      <w:r w:rsidRPr="00D13E01">
        <w:rPr>
          <w:lang w:eastAsia="de-DE"/>
        </w:rPr>
        <w:t>FINREP</w:t>
      </w:r>
      <w:bookmarkEnd w:id="74"/>
    </w:p>
    <w:p w14:paraId="7090EC97" w14:textId="77777777" w:rsidR="00D13E01" w:rsidRPr="004C6500" w:rsidRDefault="00D13E01" w:rsidP="00D13E01">
      <w:pPr>
        <w:jc w:val="both"/>
        <w:rPr>
          <w:sz w:val="24"/>
          <w:szCs w:val="24"/>
          <w:lang w:eastAsia="de-DE"/>
        </w:rPr>
      </w:pPr>
      <w:r w:rsidRPr="004C6500">
        <w:rPr>
          <w:sz w:val="24"/>
          <w:szCs w:val="24"/>
          <w:lang w:eastAsia="de-DE"/>
        </w:rPr>
        <w:t>Die folgenden Repo-spezifischen Positionen der FINREP-Meldung sind relevant:</w:t>
      </w:r>
    </w:p>
    <w:p w14:paraId="02D15A84" w14:textId="076249FE" w:rsidR="00D13E01" w:rsidRPr="0061776F" w:rsidRDefault="0061776F" w:rsidP="0061776F">
      <w:pPr>
        <w:pStyle w:val="Listenabsatz"/>
        <w:numPr>
          <w:ilvl w:val="0"/>
          <w:numId w:val="22"/>
        </w:numPr>
        <w:jc w:val="both"/>
        <w:rPr>
          <w:sz w:val="24"/>
          <w:szCs w:val="24"/>
          <w:lang w:eastAsia="de-DE"/>
        </w:rPr>
      </w:pPr>
      <w:r>
        <w:rPr>
          <w:sz w:val="24"/>
          <w:szCs w:val="24"/>
          <w:lang w:eastAsia="de-DE"/>
        </w:rPr>
        <w:t xml:space="preserve">Reverse Repo: </w:t>
      </w:r>
      <w:r w:rsidR="00D13E01" w:rsidRPr="0061776F">
        <w:rPr>
          <w:sz w:val="24"/>
          <w:szCs w:val="24"/>
          <w:lang w:eastAsia="de-DE"/>
        </w:rPr>
        <w:t xml:space="preserve">Template 05.01 5.1 </w:t>
      </w:r>
      <w:proofErr w:type="spellStart"/>
      <w:r w:rsidR="00D13E01" w:rsidRPr="0061776F">
        <w:rPr>
          <w:sz w:val="24"/>
          <w:szCs w:val="24"/>
          <w:lang w:eastAsia="de-DE"/>
        </w:rPr>
        <w:t>Loans</w:t>
      </w:r>
      <w:proofErr w:type="spellEnd"/>
      <w:r w:rsidR="00D13E01" w:rsidRPr="0061776F">
        <w:rPr>
          <w:sz w:val="24"/>
          <w:szCs w:val="24"/>
          <w:lang w:eastAsia="de-DE"/>
        </w:rPr>
        <w:t xml:space="preserve"> and </w:t>
      </w:r>
      <w:proofErr w:type="spellStart"/>
      <w:r w:rsidR="00D13E01" w:rsidRPr="0061776F">
        <w:rPr>
          <w:sz w:val="24"/>
          <w:szCs w:val="24"/>
          <w:lang w:eastAsia="de-DE"/>
        </w:rPr>
        <w:t>advances</w:t>
      </w:r>
      <w:proofErr w:type="spellEnd"/>
      <w:r w:rsidR="00D13E01" w:rsidRPr="0061776F">
        <w:rPr>
          <w:sz w:val="24"/>
          <w:szCs w:val="24"/>
          <w:lang w:eastAsia="de-DE"/>
        </w:rPr>
        <w:t xml:space="preserve"> </w:t>
      </w:r>
      <w:proofErr w:type="spellStart"/>
      <w:r w:rsidR="00D13E01" w:rsidRPr="0061776F">
        <w:rPr>
          <w:sz w:val="24"/>
          <w:szCs w:val="24"/>
          <w:lang w:eastAsia="de-DE"/>
        </w:rPr>
        <w:t>other</w:t>
      </w:r>
      <w:proofErr w:type="spellEnd"/>
      <w:r w:rsidR="00D13E01" w:rsidRPr="0061776F">
        <w:rPr>
          <w:sz w:val="24"/>
          <w:szCs w:val="24"/>
          <w:lang w:eastAsia="de-DE"/>
        </w:rPr>
        <w:t xml:space="preserve"> </w:t>
      </w:r>
      <w:proofErr w:type="spellStart"/>
      <w:r w:rsidR="00D13E01" w:rsidRPr="0061776F">
        <w:rPr>
          <w:sz w:val="24"/>
          <w:szCs w:val="24"/>
          <w:lang w:eastAsia="de-DE"/>
        </w:rPr>
        <w:t>than</w:t>
      </w:r>
      <w:proofErr w:type="spellEnd"/>
      <w:r w:rsidR="00D13E01" w:rsidRPr="0061776F">
        <w:rPr>
          <w:sz w:val="24"/>
          <w:szCs w:val="24"/>
          <w:lang w:eastAsia="de-DE"/>
        </w:rPr>
        <w:t xml:space="preserve"> </w:t>
      </w:r>
      <w:proofErr w:type="spellStart"/>
      <w:r w:rsidR="00D13E01" w:rsidRPr="0061776F">
        <w:rPr>
          <w:sz w:val="24"/>
          <w:szCs w:val="24"/>
          <w:lang w:eastAsia="de-DE"/>
        </w:rPr>
        <w:t>held</w:t>
      </w:r>
      <w:proofErr w:type="spellEnd"/>
      <w:r w:rsidR="00D13E01" w:rsidRPr="0061776F">
        <w:rPr>
          <w:sz w:val="24"/>
          <w:szCs w:val="24"/>
          <w:lang w:eastAsia="de-DE"/>
        </w:rPr>
        <w:t xml:space="preserve"> </w:t>
      </w:r>
      <w:proofErr w:type="spellStart"/>
      <w:r w:rsidR="00D13E01" w:rsidRPr="0061776F">
        <w:rPr>
          <w:sz w:val="24"/>
          <w:szCs w:val="24"/>
          <w:lang w:eastAsia="de-DE"/>
        </w:rPr>
        <w:t>for</w:t>
      </w:r>
      <w:proofErr w:type="spellEnd"/>
      <w:r w:rsidR="00D13E01" w:rsidRPr="0061776F">
        <w:rPr>
          <w:sz w:val="24"/>
          <w:szCs w:val="24"/>
          <w:lang w:eastAsia="de-DE"/>
        </w:rPr>
        <w:t xml:space="preserve"> </w:t>
      </w:r>
      <w:proofErr w:type="spellStart"/>
      <w:r w:rsidR="00D13E01" w:rsidRPr="0061776F">
        <w:rPr>
          <w:sz w:val="24"/>
          <w:szCs w:val="24"/>
          <w:lang w:eastAsia="de-DE"/>
        </w:rPr>
        <w:t>trading</w:t>
      </w:r>
      <w:proofErr w:type="spellEnd"/>
      <w:r w:rsidR="00D13E01" w:rsidRPr="0061776F">
        <w:rPr>
          <w:sz w:val="24"/>
          <w:szCs w:val="24"/>
          <w:lang w:eastAsia="de-DE"/>
        </w:rPr>
        <w:t xml:space="preserve"> and </w:t>
      </w:r>
      <w:proofErr w:type="spellStart"/>
      <w:r w:rsidR="00D13E01" w:rsidRPr="0061776F">
        <w:rPr>
          <w:sz w:val="24"/>
          <w:szCs w:val="24"/>
          <w:lang w:eastAsia="de-DE"/>
        </w:rPr>
        <w:t>trading</w:t>
      </w:r>
      <w:proofErr w:type="spellEnd"/>
      <w:r w:rsidR="00D13E01" w:rsidRPr="0061776F">
        <w:rPr>
          <w:sz w:val="24"/>
          <w:szCs w:val="24"/>
          <w:lang w:eastAsia="de-DE"/>
        </w:rPr>
        <w:t xml:space="preserve"> Assets </w:t>
      </w:r>
      <w:proofErr w:type="spellStart"/>
      <w:r w:rsidR="00D13E01" w:rsidRPr="0061776F">
        <w:rPr>
          <w:sz w:val="24"/>
          <w:szCs w:val="24"/>
          <w:lang w:eastAsia="de-DE"/>
        </w:rPr>
        <w:t>by</w:t>
      </w:r>
      <w:proofErr w:type="spellEnd"/>
      <w:r w:rsidR="00D13E01" w:rsidRPr="0061776F">
        <w:rPr>
          <w:sz w:val="24"/>
          <w:szCs w:val="24"/>
          <w:lang w:eastAsia="de-DE"/>
        </w:rPr>
        <w:t xml:space="preserve"> </w:t>
      </w:r>
      <w:proofErr w:type="spellStart"/>
      <w:r w:rsidR="00D13E01" w:rsidRPr="0061776F">
        <w:rPr>
          <w:sz w:val="24"/>
          <w:szCs w:val="24"/>
          <w:lang w:eastAsia="de-DE"/>
        </w:rPr>
        <w:t>product</w:t>
      </w:r>
      <w:proofErr w:type="spellEnd"/>
      <w:r w:rsidR="00D13E01" w:rsidRPr="0061776F">
        <w:rPr>
          <w:sz w:val="24"/>
          <w:szCs w:val="24"/>
          <w:lang w:eastAsia="de-DE"/>
        </w:rPr>
        <w:t xml:space="preserve">: Position 0050 Reverse </w:t>
      </w:r>
      <w:proofErr w:type="spellStart"/>
      <w:r w:rsidR="00D13E01" w:rsidRPr="0061776F">
        <w:rPr>
          <w:sz w:val="24"/>
          <w:szCs w:val="24"/>
          <w:lang w:eastAsia="de-DE"/>
        </w:rPr>
        <w:t>repurchase</w:t>
      </w:r>
      <w:proofErr w:type="spellEnd"/>
      <w:r w:rsidR="00D13E01" w:rsidRPr="0061776F">
        <w:rPr>
          <w:sz w:val="24"/>
          <w:szCs w:val="24"/>
          <w:lang w:eastAsia="de-DE"/>
        </w:rPr>
        <w:t xml:space="preserve"> </w:t>
      </w:r>
      <w:proofErr w:type="spellStart"/>
      <w:r w:rsidR="00D13E01" w:rsidRPr="0061776F">
        <w:rPr>
          <w:sz w:val="24"/>
          <w:szCs w:val="24"/>
          <w:lang w:eastAsia="de-DE"/>
        </w:rPr>
        <w:t>loans</w:t>
      </w:r>
      <w:proofErr w:type="spellEnd"/>
    </w:p>
    <w:p w14:paraId="5A217CD8" w14:textId="7F18FA8D" w:rsidR="0061776F" w:rsidRPr="0061776F" w:rsidRDefault="0061776F" w:rsidP="0061776F">
      <w:pPr>
        <w:pStyle w:val="Listenabsatz"/>
        <w:numPr>
          <w:ilvl w:val="0"/>
          <w:numId w:val="22"/>
        </w:numPr>
        <w:jc w:val="both"/>
        <w:rPr>
          <w:sz w:val="24"/>
          <w:szCs w:val="24"/>
          <w:lang w:eastAsia="de-DE"/>
        </w:rPr>
      </w:pPr>
      <w:r w:rsidRPr="0061776F">
        <w:rPr>
          <w:sz w:val="24"/>
          <w:szCs w:val="24"/>
          <w:lang w:eastAsia="de-DE"/>
        </w:rPr>
        <w:t>Template „8.1 Aufschlüsselung der finanziellen Verbindlichkeiten nach Instrumenten und Branche der Gegenpartei“</w:t>
      </w:r>
    </w:p>
    <w:p w14:paraId="51BF5CA9" w14:textId="77777777" w:rsidR="0061776F" w:rsidRPr="0061776F" w:rsidRDefault="0061776F" w:rsidP="004C6500">
      <w:pPr>
        <w:pStyle w:val="Listenabsatz"/>
        <w:numPr>
          <w:ilvl w:val="1"/>
          <w:numId w:val="22"/>
        </w:numPr>
        <w:jc w:val="both"/>
        <w:rPr>
          <w:sz w:val="24"/>
          <w:szCs w:val="24"/>
          <w:lang w:eastAsia="de-DE"/>
        </w:rPr>
      </w:pPr>
      <w:r w:rsidRPr="0061776F">
        <w:rPr>
          <w:sz w:val="24"/>
          <w:szCs w:val="24"/>
          <w:lang w:eastAsia="de-DE"/>
        </w:rPr>
        <w:t>Zeile 0200 „Rückkaufsvereinbarungen“ (Unterposition von: 160 „Einlagen Kreditinstitute“)</w:t>
      </w:r>
    </w:p>
    <w:p w14:paraId="6BE22507" w14:textId="2BE2B045" w:rsidR="00D13E01" w:rsidRPr="0061776F" w:rsidRDefault="0061776F" w:rsidP="004C6500">
      <w:pPr>
        <w:pStyle w:val="Listenabsatz"/>
        <w:numPr>
          <w:ilvl w:val="1"/>
          <w:numId w:val="22"/>
        </w:numPr>
        <w:jc w:val="both"/>
        <w:rPr>
          <w:sz w:val="24"/>
          <w:szCs w:val="24"/>
          <w:lang w:eastAsia="de-DE"/>
        </w:rPr>
      </w:pPr>
      <w:r w:rsidRPr="0061776F">
        <w:rPr>
          <w:sz w:val="24"/>
          <w:szCs w:val="24"/>
          <w:lang w:eastAsia="de-DE"/>
        </w:rPr>
        <w:t xml:space="preserve">Spalte 0035 At a </w:t>
      </w:r>
      <w:proofErr w:type="spellStart"/>
      <w:r w:rsidRPr="0061776F">
        <w:rPr>
          <w:sz w:val="24"/>
          <w:szCs w:val="24"/>
          <w:lang w:eastAsia="de-DE"/>
        </w:rPr>
        <w:t>cost-based</w:t>
      </w:r>
      <w:proofErr w:type="spellEnd"/>
      <w:r w:rsidRPr="0061776F">
        <w:rPr>
          <w:sz w:val="24"/>
          <w:szCs w:val="24"/>
          <w:lang w:eastAsia="de-DE"/>
        </w:rPr>
        <w:t xml:space="preserve"> </w:t>
      </w:r>
      <w:proofErr w:type="spellStart"/>
      <w:r w:rsidRPr="0061776F">
        <w:rPr>
          <w:sz w:val="24"/>
          <w:szCs w:val="24"/>
          <w:lang w:eastAsia="de-DE"/>
        </w:rPr>
        <w:t>method</w:t>
      </w:r>
      <w:proofErr w:type="spellEnd"/>
    </w:p>
    <w:p w14:paraId="74BF84A2" w14:textId="77777777" w:rsidR="00D13E01" w:rsidRDefault="00D13E01" w:rsidP="003179F8">
      <w:pPr>
        <w:jc w:val="both"/>
        <w:rPr>
          <w:b/>
          <w:bCs/>
          <w:sz w:val="24"/>
          <w:szCs w:val="24"/>
          <w:lang w:eastAsia="de-DE"/>
        </w:rPr>
      </w:pPr>
    </w:p>
    <w:p w14:paraId="2359811B" w14:textId="3CC57B5D" w:rsidR="00F14614" w:rsidRPr="003179F8" w:rsidRDefault="00F14614" w:rsidP="003179F8">
      <w:pPr>
        <w:pStyle w:val="berschrift2"/>
        <w:spacing w:before="0" w:after="100"/>
        <w:jc w:val="both"/>
        <w:rPr>
          <w:rFonts w:eastAsia="Times New Roman"/>
          <w:snapToGrid w:val="0"/>
          <w:sz w:val="24"/>
          <w:szCs w:val="24"/>
          <w:lang w:eastAsia="de-DE"/>
        </w:rPr>
      </w:pPr>
      <w:bookmarkStart w:id="75" w:name="_Toc172294780"/>
      <w:r w:rsidRPr="003179F8">
        <w:rPr>
          <w:rFonts w:eastAsia="Times New Roman"/>
          <w:snapToGrid w:val="0"/>
          <w:sz w:val="24"/>
          <w:szCs w:val="24"/>
          <w:lang w:eastAsia="de-DE"/>
        </w:rPr>
        <w:lastRenderedPageBreak/>
        <w:t>Weitere Meldepflichten</w:t>
      </w:r>
      <w:bookmarkEnd w:id="75"/>
    </w:p>
    <w:p w14:paraId="026A9FE0" w14:textId="77777777" w:rsidR="00A617A1" w:rsidRPr="000954C2" w:rsidRDefault="00A617A1" w:rsidP="00D13E01">
      <w:pPr>
        <w:pStyle w:val="berschrift3"/>
        <w:rPr>
          <w:rFonts w:eastAsia="Times New Roman"/>
          <w:snapToGrid w:val="0"/>
          <w:sz w:val="24"/>
          <w:szCs w:val="24"/>
          <w:lang w:eastAsia="de-DE"/>
        </w:rPr>
      </w:pPr>
      <w:bookmarkStart w:id="76" w:name="_Toc172294781"/>
      <w:proofErr w:type="spellStart"/>
      <w:r w:rsidRPr="000954C2">
        <w:rPr>
          <w:rFonts w:eastAsia="Times New Roman"/>
          <w:snapToGrid w:val="0"/>
          <w:sz w:val="24"/>
          <w:szCs w:val="24"/>
          <w:lang w:eastAsia="de-DE"/>
        </w:rPr>
        <w:t>Leverage</w:t>
      </w:r>
      <w:proofErr w:type="spellEnd"/>
      <w:r w:rsidRPr="000954C2">
        <w:rPr>
          <w:rFonts w:eastAsia="Times New Roman"/>
          <w:snapToGrid w:val="0"/>
          <w:sz w:val="24"/>
          <w:szCs w:val="24"/>
          <w:lang w:eastAsia="de-DE"/>
        </w:rPr>
        <w:t xml:space="preserve"> Ratio</w:t>
      </w:r>
      <w:bookmarkEnd w:id="76"/>
    </w:p>
    <w:p w14:paraId="52A1E0B1" w14:textId="101464A4" w:rsidR="00A617A1" w:rsidRPr="004C6500" w:rsidRDefault="00A617A1" w:rsidP="00A617A1">
      <w:pPr>
        <w:rPr>
          <w:sz w:val="24"/>
          <w:szCs w:val="24"/>
          <w:lang w:eastAsia="de-DE"/>
        </w:rPr>
      </w:pPr>
      <w:r w:rsidRPr="004C6500">
        <w:rPr>
          <w:sz w:val="24"/>
          <w:szCs w:val="24"/>
          <w:lang w:eastAsia="de-DE"/>
        </w:rPr>
        <w:t xml:space="preserve">Im Rahmen der </w:t>
      </w:r>
      <w:proofErr w:type="spellStart"/>
      <w:r w:rsidRPr="004C6500">
        <w:rPr>
          <w:sz w:val="24"/>
          <w:szCs w:val="24"/>
          <w:lang w:eastAsia="de-DE"/>
        </w:rPr>
        <w:t>Leverage</w:t>
      </w:r>
      <w:proofErr w:type="spellEnd"/>
      <w:r w:rsidRPr="004C6500">
        <w:rPr>
          <w:sz w:val="24"/>
          <w:szCs w:val="24"/>
          <w:lang w:eastAsia="de-DE"/>
        </w:rPr>
        <w:t xml:space="preserve"> Ratio ist das </w:t>
      </w:r>
      <w:proofErr w:type="spellStart"/>
      <w:r w:rsidRPr="004C6500">
        <w:rPr>
          <w:sz w:val="24"/>
          <w:szCs w:val="24"/>
          <w:lang w:eastAsia="de-DE"/>
        </w:rPr>
        <w:t>Emittentenausfallrisiko</w:t>
      </w:r>
      <w:proofErr w:type="spellEnd"/>
      <w:r w:rsidRPr="004C6500">
        <w:rPr>
          <w:sz w:val="24"/>
          <w:szCs w:val="24"/>
          <w:lang w:eastAsia="de-DE"/>
        </w:rPr>
        <w:t xml:space="preserve"> und das Gegenparteiausfallrisiko zu berücksichtigen. Abweichend von der Eigenkapitalunterlegung ist für das Gegenparteiausfallrisiko ein Aufschlag zu berechnen. Dabei kann der Aufschlag nach der einfachen Methode oder nach der umfassenden Methode berechnet werden. </w:t>
      </w:r>
    </w:p>
    <w:p w14:paraId="55D0C2F6" w14:textId="49B25CFE" w:rsidR="00A617A1" w:rsidRPr="004C6500" w:rsidRDefault="00A617A1" w:rsidP="00A617A1">
      <w:pPr>
        <w:rPr>
          <w:sz w:val="24"/>
          <w:szCs w:val="24"/>
          <w:lang w:eastAsia="de-DE"/>
        </w:rPr>
      </w:pPr>
      <w:r w:rsidRPr="004C6500">
        <w:rPr>
          <w:sz w:val="24"/>
          <w:szCs w:val="24"/>
          <w:lang w:eastAsia="de-DE"/>
        </w:rPr>
        <w:t xml:space="preserve">Der Nettoforderungswert für das </w:t>
      </w:r>
      <w:proofErr w:type="spellStart"/>
      <w:r w:rsidRPr="004C6500">
        <w:rPr>
          <w:sz w:val="24"/>
          <w:szCs w:val="24"/>
          <w:u w:val="single"/>
          <w:lang w:eastAsia="de-DE"/>
        </w:rPr>
        <w:t>Emittentenausfallrisiko</w:t>
      </w:r>
      <w:proofErr w:type="spellEnd"/>
      <w:r w:rsidRPr="004C6500">
        <w:rPr>
          <w:sz w:val="24"/>
          <w:szCs w:val="24"/>
          <w:lang w:eastAsia="de-DE"/>
        </w:rPr>
        <w:t xml:space="preserve"> aus den übertragenen Wertpapieren bestimmt sich nach Art. 429b Abs. 1 </w:t>
      </w:r>
      <w:proofErr w:type="spellStart"/>
      <w:r w:rsidRPr="004C6500">
        <w:rPr>
          <w:sz w:val="24"/>
          <w:szCs w:val="24"/>
          <w:lang w:eastAsia="de-DE"/>
        </w:rPr>
        <w:t>lit</w:t>
      </w:r>
      <w:proofErr w:type="spellEnd"/>
      <w:r w:rsidRPr="004C6500">
        <w:rPr>
          <w:sz w:val="24"/>
          <w:szCs w:val="24"/>
          <w:lang w:eastAsia="de-DE"/>
        </w:rPr>
        <w:t>. a</w:t>
      </w:r>
      <w:r w:rsidR="001A14F9" w:rsidRPr="004C6500">
        <w:rPr>
          <w:sz w:val="24"/>
          <w:szCs w:val="24"/>
          <w:lang w:eastAsia="de-DE"/>
        </w:rPr>
        <w:t>)</w:t>
      </w:r>
      <w:r w:rsidRPr="004C6500">
        <w:rPr>
          <w:sz w:val="24"/>
          <w:szCs w:val="24"/>
          <w:lang w:eastAsia="de-DE"/>
        </w:rPr>
        <w:t xml:space="preserve"> CRR und stellt bei fehlenden Sicherheiten den Buchwert der Position dar (Ausweis unverändert unter </w:t>
      </w:r>
      <w:proofErr w:type="spellStart"/>
      <w:r w:rsidRPr="004C6500">
        <w:rPr>
          <w:sz w:val="24"/>
          <w:szCs w:val="24"/>
          <w:lang w:eastAsia="de-DE"/>
        </w:rPr>
        <w:t>LRCalc</w:t>
      </w:r>
      <w:proofErr w:type="spellEnd"/>
      <w:r w:rsidRPr="004C6500">
        <w:rPr>
          <w:sz w:val="24"/>
          <w:szCs w:val="24"/>
          <w:lang w:eastAsia="de-DE"/>
        </w:rPr>
        <w:t xml:space="preserve"> Zeile 190)</w:t>
      </w:r>
      <w:r w:rsidR="001A14F9" w:rsidRPr="004C6500">
        <w:rPr>
          <w:sz w:val="24"/>
          <w:szCs w:val="24"/>
          <w:lang w:eastAsia="de-DE"/>
        </w:rPr>
        <w:t>.</w:t>
      </w:r>
    </w:p>
    <w:p w14:paraId="1E9E0B54" w14:textId="35A56770" w:rsidR="00A617A1" w:rsidRPr="004C6500" w:rsidRDefault="00A617A1" w:rsidP="00A617A1">
      <w:pPr>
        <w:rPr>
          <w:sz w:val="24"/>
          <w:szCs w:val="24"/>
          <w:lang w:eastAsia="de-DE"/>
        </w:rPr>
      </w:pPr>
      <w:r w:rsidRPr="004C6500">
        <w:rPr>
          <w:sz w:val="24"/>
          <w:szCs w:val="24"/>
          <w:lang w:eastAsia="de-DE"/>
        </w:rPr>
        <w:t xml:space="preserve">Gemäß der einfachen Methode für das </w:t>
      </w:r>
      <w:r w:rsidRPr="004C6500">
        <w:rPr>
          <w:sz w:val="24"/>
          <w:szCs w:val="24"/>
          <w:u w:val="single"/>
          <w:lang w:eastAsia="de-DE"/>
        </w:rPr>
        <w:t>Gegenparteiausfallrisiko</w:t>
      </w:r>
      <w:r w:rsidRPr="004C6500">
        <w:rPr>
          <w:sz w:val="24"/>
          <w:szCs w:val="24"/>
          <w:lang w:eastAsia="de-DE"/>
        </w:rPr>
        <w:t xml:space="preserve"> nach Art. 429e Abs. 5 CRR </w:t>
      </w:r>
      <w:proofErr w:type="spellStart"/>
      <w:r w:rsidRPr="004C6500">
        <w:rPr>
          <w:sz w:val="24"/>
          <w:szCs w:val="24"/>
          <w:lang w:eastAsia="de-DE"/>
        </w:rPr>
        <w:t>i.V.m</w:t>
      </w:r>
      <w:proofErr w:type="spellEnd"/>
      <w:r w:rsidRPr="004C6500">
        <w:rPr>
          <w:sz w:val="24"/>
          <w:szCs w:val="24"/>
          <w:lang w:eastAsia="de-DE"/>
        </w:rPr>
        <w:t xml:space="preserve">. Art. 222 CRR wird das Risikogewicht mit dem Risikopositionswert (Buchwert) gegenüber dem Kontrahenten multipliziert. Das Risikogewicht wird </w:t>
      </w:r>
      <w:r w:rsidR="00967B0D">
        <w:rPr>
          <w:sz w:val="24"/>
          <w:szCs w:val="24"/>
          <w:lang w:eastAsia="de-DE"/>
        </w:rPr>
        <w:t xml:space="preserve">bei Kreditinstituten als Kontrahent </w:t>
      </w:r>
      <w:r w:rsidRPr="004C6500">
        <w:rPr>
          <w:sz w:val="24"/>
          <w:szCs w:val="24"/>
          <w:lang w:eastAsia="de-DE"/>
        </w:rPr>
        <w:t xml:space="preserve">in der Regel nach Art. </w:t>
      </w:r>
      <w:r w:rsidR="00967B0D">
        <w:rPr>
          <w:sz w:val="24"/>
          <w:szCs w:val="24"/>
          <w:lang w:eastAsia="de-DE"/>
        </w:rPr>
        <w:t>120/</w:t>
      </w:r>
      <w:r w:rsidRPr="004C6500">
        <w:rPr>
          <w:sz w:val="24"/>
          <w:szCs w:val="24"/>
          <w:lang w:eastAsia="de-DE"/>
        </w:rPr>
        <w:t>121 CRR ermittelt, wobei ein Mindestrisikogewicht von 20% gilt (</w:t>
      </w:r>
      <w:proofErr w:type="spellStart"/>
      <w:r w:rsidRPr="004C6500">
        <w:rPr>
          <w:sz w:val="24"/>
          <w:szCs w:val="24"/>
          <w:lang w:eastAsia="de-DE"/>
        </w:rPr>
        <w:t>LRCalc</w:t>
      </w:r>
      <w:proofErr w:type="spellEnd"/>
      <w:r w:rsidRPr="004C6500">
        <w:rPr>
          <w:sz w:val="24"/>
          <w:szCs w:val="24"/>
          <w:lang w:eastAsia="de-DE"/>
        </w:rPr>
        <w:t xml:space="preserve"> Zeile 30)</w:t>
      </w:r>
      <w:r w:rsidR="00413AC5" w:rsidRPr="004C6500">
        <w:rPr>
          <w:sz w:val="24"/>
          <w:szCs w:val="24"/>
          <w:lang w:eastAsia="de-DE"/>
        </w:rPr>
        <w:t>.</w:t>
      </w:r>
    </w:p>
    <w:p w14:paraId="24CF4305" w14:textId="257E0F8D" w:rsidR="00A617A1" w:rsidRPr="004C6500" w:rsidRDefault="00A617A1" w:rsidP="00A617A1">
      <w:pPr>
        <w:rPr>
          <w:sz w:val="24"/>
          <w:szCs w:val="24"/>
          <w:lang w:eastAsia="de-DE"/>
        </w:rPr>
      </w:pPr>
      <w:r w:rsidRPr="004C6500">
        <w:rPr>
          <w:sz w:val="24"/>
          <w:szCs w:val="24"/>
          <w:lang w:eastAsia="de-DE"/>
        </w:rPr>
        <w:t>Nach der umfassenden Methode (Art. 429e Abs. 2 CRR) errechnet sich der Aufschlag als Differenz aus dem beizulegenden Zeitwert der verliehenen Wertpapiere und den erhaltenen Sicherheiten (</w:t>
      </w:r>
      <w:proofErr w:type="spellStart"/>
      <w:r w:rsidRPr="004C6500">
        <w:rPr>
          <w:sz w:val="24"/>
          <w:szCs w:val="24"/>
          <w:lang w:eastAsia="de-DE"/>
        </w:rPr>
        <w:t>LRCalc</w:t>
      </w:r>
      <w:proofErr w:type="spellEnd"/>
      <w:r w:rsidRPr="004C6500">
        <w:rPr>
          <w:sz w:val="24"/>
          <w:szCs w:val="24"/>
          <w:lang w:eastAsia="de-DE"/>
        </w:rPr>
        <w:t xml:space="preserve"> Zeile 20)</w:t>
      </w:r>
      <w:r w:rsidR="001618F4" w:rsidRPr="004C6500">
        <w:rPr>
          <w:sz w:val="24"/>
          <w:szCs w:val="24"/>
          <w:lang w:eastAsia="de-DE"/>
        </w:rPr>
        <w:t>.</w:t>
      </w:r>
    </w:p>
    <w:p w14:paraId="5A026598" w14:textId="56629108" w:rsidR="00A617A1" w:rsidRPr="004C6500" w:rsidRDefault="00A617A1" w:rsidP="00A617A1">
      <w:pPr>
        <w:rPr>
          <w:sz w:val="24"/>
          <w:szCs w:val="24"/>
          <w:lang w:eastAsia="de-DE"/>
        </w:rPr>
      </w:pPr>
      <w:r w:rsidRPr="004C6500">
        <w:rPr>
          <w:sz w:val="24"/>
          <w:szCs w:val="24"/>
          <w:lang w:eastAsia="de-DE"/>
        </w:rPr>
        <w:t xml:space="preserve">Wenn Risikopositionen für das Gegenparteiausfallrisiko gegenüber dem Pensionsnehmer ein Risikogewicht von 0% nach Art. 113 Abs. 6 oder Abs. 7 CRR erhalten (bei DZ BANK gegeben), bleibt das Gegenparteiausfallrisiko von der Anrechnung auf die Gesamtrisikopositionsmessgröße ausgenommen (Art. 429a Abs. 1 </w:t>
      </w:r>
      <w:proofErr w:type="spellStart"/>
      <w:r w:rsidRPr="004C6500">
        <w:rPr>
          <w:sz w:val="24"/>
          <w:szCs w:val="24"/>
          <w:lang w:eastAsia="de-DE"/>
        </w:rPr>
        <w:t>lit</w:t>
      </w:r>
      <w:proofErr w:type="spellEnd"/>
      <w:r w:rsidRPr="004C6500">
        <w:rPr>
          <w:sz w:val="24"/>
          <w:szCs w:val="24"/>
          <w:lang w:eastAsia="de-DE"/>
        </w:rPr>
        <w:t>. c</w:t>
      </w:r>
      <w:r w:rsidR="001618F4" w:rsidRPr="004C6500">
        <w:rPr>
          <w:sz w:val="24"/>
          <w:szCs w:val="24"/>
          <w:lang w:eastAsia="de-DE"/>
        </w:rPr>
        <w:t>)</w:t>
      </w:r>
      <w:r w:rsidRPr="004C6500">
        <w:rPr>
          <w:sz w:val="24"/>
          <w:szCs w:val="24"/>
          <w:lang w:eastAsia="de-DE"/>
        </w:rPr>
        <w:t xml:space="preserve"> CRR) (</w:t>
      </w:r>
      <w:proofErr w:type="spellStart"/>
      <w:r w:rsidRPr="004C6500">
        <w:rPr>
          <w:sz w:val="24"/>
          <w:szCs w:val="24"/>
          <w:lang w:eastAsia="de-DE"/>
        </w:rPr>
        <w:t>LRCalc</w:t>
      </w:r>
      <w:proofErr w:type="spellEnd"/>
      <w:r w:rsidRPr="004C6500">
        <w:rPr>
          <w:sz w:val="24"/>
          <w:szCs w:val="24"/>
          <w:lang w:eastAsia="de-DE"/>
        </w:rPr>
        <w:t xml:space="preserve"> Zeile 251).</w:t>
      </w:r>
    </w:p>
    <w:p w14:paraId="29005222" w14:textId="77777777" w:rsidR="00A617A1" w:rsidRPr="004C6500" w:rsidRDefault="00A617A1" w:rsidP="00A617A1">
      <w:pPr>
        <w:rPr>
          <w:sz w:val="24"/>
          <w:szCs w:val="24"/>
          <w:lang w:eastAsia="de-DE"/>
        </w:rPr>
      </w:pPr>
      <w:r w:rsidRPr="004C6500">
        <w:rPr>
          <w:sz w:val="24"/>
          <w:szCs w:val="24"/>
          <w:lang w:eastAsia="de-DE"/>
        </w:rPr>
        <w:t>Im Meldebogen LR1 erfolgt für den Pensionsgeber mangels Aktivpositionen in der Bilanz kein Ausweis.</w:t>
      </w:r>
    </w:p>
    <w:p w14:paraId="0C5BBAFF" w14:textId="77777777" w:rsidR="00A617A1" w:rsidRPr="004C6500" w:rsidRDefault="00A617A1" w:rsidP="00A617A1">
      <w:pPr>
        <w:rPr>
          <w:sz w:val="24"/>
          <w:szCs w:val="24"/>
          <w:lang w:eastAsia="de-DE"/>
        </w:rPr>
      </w:pPr>
      <w:r w:rsidRPr="004C6500">
        <w:rPr>
          <w:sz w:val="24"/>
          <w:szCs w:val="24"/>
          <w:lang w:eastAsia="de-DE"/>
        </w:rPr>
        <w:t xml:space="preserve">Im Meldebogen LR4, Zeile 060 sind die unter den Zeilen 010-030 in </w:t>
      </w:r>
      <w:proofErr w:type="spellStart"/>
      <w:r w:rsidRPr="004C6500">
        <w:rPr>
          <w:sz w:val="24"/>
          <w:szCs w:val="24"/>
          <w:lang w:eastAsia="de-DE"/>
        </w:rPr>
        <w:t>LRCalc</w:t>
      </w:r>
      <w:proofErr w:type="spellEnd"/>
      <w:r w:rsidRPr="004C6500">
        <w:rPr>
          <w:sz w:val="24"/>
          <w:szCs w:val="24"/>
          <w:lang w:eastAsia="de-DE"/>
        </w:rPr>
        <w:t xml:space="preserve"> ausgewiesenen Positionen zu berücksichtigen.</w:t>
      </w:r>
    </w:p>
    <w:p w14:paraId="4AE0B24C" w14:textId="041A5CE6" w:rsidR="00D13E01" w:rsidRPr="000954C2" w:rsidRDefault="004B55F2" w:rsidP="004C6500">
      <w:pPr>
        <w:pStyle w:val="berschrift3"/>
        <w:rPr>
          <w:rFonts w:eastAsia="Times New Roman"/>
          <w:snapToGrid w:val="0"/>
          <w:sz w:val="24"/>
          <w:szCs w:val="24"/>
          <w:lang w:eastAsia="de-DE"/>
        </w:rPr>
      </w:pPr>
      <w:bookmarkStart w:id="77" w:name="_Toc172294782"/>
      <w:r w:rsidRPr="000954C2">
        <w:rPr>
          <w:rFonts w:eastAsia="Times New Roman"/>
          <w:snapToGrid w:val="0"/>
          <w:sz w:val="24"/>
          <w:szCs w:val="24"/>
          <w:lang w:eastAsia="de-DE"/>
        </w:rPr>
        <w:t xml:space="preserve">Asset </w:t>
      </w:r>
      <w:proofErr w:type="spellStart"/>
      <w:r w:rsidRPr="000954C2">
        <w:rPr>
          <w:rFonts w:eastAsia="Times New Roman"/>
          <w:snapToGrid w:val="0"/>
          <w:sz w:val="24"/>
          <w:szCs w:val="24"/>
          <w:lang w:eastAsia="de-DE"/>
        </w:rPr>
        <w:t>Encumbrance</w:t>
      </w:r>
      <w:bookmarkEnd w:id="77"/>
      <w:proofErr w:type="spellEnd"/>
    </w:p>
    <w:p w14:paraId="2612B85E" w14:textId="5F866CB6" w:rsidR="004B55F2" w:rsidRPr="003179F8" w:rsidRDefault="004B55F2" w:rsidP="003179F8">
      <w:pPr>
        <w:jc w:val="both"/>
        <w:rPr>
          <w:rFonts w:eastAsia="Times New Roman" w:cstheme="minorHAnsi"/>
          <w:b/>
          <w:snapToGrid w:val="0"/>
          <w:color w:val="auto"/>
          <w:sz w:val="24"/>
          <w:szCs w:val="24"/>
          <w:lang w:eastAsia="de-DE"/>
        </w:rPr>
      </w:pPr>
      <w:r w:rsidRPr="003179F8">
        <w:rPr>
          <w:rFonts w:eastAsia="Times New Roman" w:cstheme="minorHAnsi"/>
          <w:b/>
          <w:snapToGrid w:val="0"/>
          <w:color w:val="auto"/>
          <w:sz w:val="24"/>
          <w:szCs w:val="24"/>
          <w:lang w:eastAsia="de-DE"/>
        </w:rPr>
        <w:t>Pensionsgeber</w:t>
      </w:r>
    </w:p>
    <w:p w14:paraId="3737B555" w14:textId="430561E0"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Die Asset </w:t>
      </w:r>
      <w:proofErr w:type="spellStart"/>
      <w:r w:rsidRPr="003179F8">
        <w:rPr>
          <w:rFonts w:eastAsia="Times New Roman" w:cstheme="minorHAnsi"/>
          <w:bCs/>
          <w:snapToGrid w:val="0"/>
          <w:color w:val="auto"/>
          <w:sz w:val="24"/>
          <w:szCs w:val="24"/>
          <w:lang w:eastAsia="de-DE"/>
        </w:rPr>
        <w:t>Encumbrance</w:t>
      </w:r>
      <w:proofErr w:type="spellEnd"/>
      <w:r w:rsidRPr="003179F8">
        <w:rPr>
          <w:rFonts w:eastAsia="Times New Roman" w:cstheme="minorHAnsi"/>
          <w:bCs/>
          <w:snapToGrid w:val="0"/>
          <w:color w:val="auto"/>
          <w:sz w:val="24"/>
          <w:szCs w:val="24"/>
          <w:lang w:eastAsia="de-DE"/>
        </w:rPr>
        <w:t xml:space="preserve"> Meldung setzt sich aus mehreren Teilen zusammen. Der Teil A </w:t>
      </w:r>
      <w:r w:rsidRPr="00042590">
        <w:rPr>
          <w:rFonts w:eastAsia="Times New Roman" w:cstheme="minorHAnsi"/>
          <w:bCs/>
          <w:snapToGrid w:val="0"/>
          <w:color w:val="auto"/>
          <w:sz w:val="24"/>
          <w:szCs w:val="24"/>
          <w:lang w:eastAsia="de-DE"/>
        </w:rPr>
        <w:t>(Meldebögen F32.</w:t>
      </w:r>
      <w:r w:rsidR="00042590">
        <w:rPr>
          <w:rFonts w:eastAsia="Times New Roman" w:cstheme="minorHAnsi"/>
          <w:bCs/>
          <w:snapToGrid w:val="0"/>
          <w:color w:val="auto"/>
          <w:sz w:val="24"/>
          <w:szCs w:val="24"/>
          <w:lang w:eastAsia="de-DE"/>
        </w:rPr>
        <w:t>01-04</w:t>
      </w:r>
      <w:r w:rsidRPr="00042590">
        <w:rPr>
          <w:rFonts w:eastAsia="Times New Roman" w:cstheme="minorHAnsi"/>
          <w:bCs/>
          <w:snapToGrid w:val="0"/>
          <w:color w:val="auto"/>
          <w:sz w:val="24"/>
          <w:szCs w:val="24"/>
          <w:lang w:eastAsia="de-DE"/>
        </w:rPr>
        <w:t>)</w:t>
      </w:r>
      <w:r w:rsidRPr="003179F8">
        <w:rPr>
          <w:rFonts w:eastAsia="Times New Roman" w:cstheme="minorHAnsi"/>
          <w:bCs/>
          <w:snapToGrid w:val="0"/>
          <w:color w:val="auto"/>
          <w:sz w:val="24"/>
          <w:szCs w:val="24"/>
          <w:lang w:eastAsia="de-DE"/>
        </w:rPr>
        <w:t xml:space="preserve"> ist von jedem Institut zu melden, während die Teile B, C und E (F33 – F36) bei der Aufsicht nur einzureichen sind, sofern bestimmte Schwellenwerte nach Art. 1 Abs. 2 AE-DV überschritten werden. Für Genossenschaftsbanken entscheidend ist dabei, ob eine AE-Quote von 15% überschritten wird.</w:t>
      </w:r>
    </w:p>
    <w:p w14:paraId="6F3446C8"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Der Pensionsgeber hat insbesondere die in Pension gegebenen eigenen Wertpapiere im Teil A der Meldung, als belastet gem. den Erläuterungen des Anhang III Tz. 2.1 der AE-DV auszuweisen. Der Buchwert des Repos und das übertragene Wertpapier sind als zugehörige Belastungsquelle gem. den Erläuterungen des Anhang III Tz. 2.4 AE-DV auszuweisen.</w:t>
      </w:r>
    </w:p>
    <w:p w14:paraId="438C5CBE"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 xml:space="preserve">Aufgrund des geschäftsimmanenten Belastungssachverhaltes erhöhen Repos grundsätzlich die AE-Quote des Pensionsgebers, so dass es durch den Abschluss solcher Geschäfte dazukommen kann, dass eine Schwellenwertüberschreitung stattfindet und </w:t>
      </w:r>
      <w:r w:rsidRPr="003179F8">
        <w:rPr>
          <w:rFonts w:eastAsia="Times New Roman" w:cstheme="minorHAnsi"/>
          <w:bCs/>
          <w:snapToGrid w:val="0"/>
          <w:color w:val="auto"/>
          <w:sz w:val="24"/>
          <w:szCs w:val="24"/>
          <w:lang w:eastAsia="de-DE"/>
        </w:rPr>
        <w:lastRenderedPageBreak/>
        <w:t>somit eine erweiterte Meldepflicht ausgelöst wird. Aus Art. 4 Abs. 1 der Verordnung (EU) 680/2014 ergibt sich, dass eine Meldepflicht für die Angaben, die Schwellenwerten unterliegen, ab dem nächsten Meldestichtag besteht, wenn die Schwelle an zwei aufeinanderfolgenden Meldestichtagen überschritten worden ist. Die Erläuterungen zur Befüllung der zusätzlichen Meldebögen befinden sich im Anhang III Tz. 3, Tz. 4 und Tz. 6 der AE-DV. Die Meldeintervalle (viertel-/ halb- oder ganzjährig) für diese Meldungen ergeben sich aus Art. 2 AE-DV.</w:t>
      </w:r>
    </w:p>
    <w:p w14:paraId="7ACEC90D"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Sobald die Meldeschwelle „15% AE-Quote“ an drei aufeinanderfolgenden Meldestichtagen wieder unterschritten wurde, kann gem. Art. 4 Abs. 3 der Verordnung (EU) 680/2014 die Abgabe der zusätzlichen Meldebögen ab dem nächsten Meldestichtag wieder unterbleiben.</w:t>
      </w:r>
    </w:p>
    <w:p w14:paraId="6A03E45E" w14:textId="77777777" w:rsidR="004B55F2" w:rsidRPr="003179F8" w:rsidRDefault="004B55F2" w:rsidP="003179F8">
      <w:pPr>
        <w:jc w:val="both"/>
        <w:rPr>
          <w:rFonts w:eastAsia="Times New Roman" w:cstheme="minorHAnsi"/>
          <w:bCs/>
          <w:snapToGrid w:val="0"/>
          <w:color w:val="auto"/>
          <w:sz w:val="24"/>
          <w:szCs w:val="24"/>
          <w:lang w:eastAsia="de-DE"/>
        </w:rPr>
      </w:pPr>
      <w:r w:rsidRPr="003179F8">
        <w:rPr>
          <w:rFonts w:eastAsia="Times New Roman" w:cstheme="minorHAnsi"/>
          <w:bCs/>
          <w:snapToGrid w:val="0"/>
          <w:color w:val="auto"/>
          <w:sz w:val="24"/>
          <w:szCs w:val="24"/>
          <w:lang w:eastAsia="de-DE"/>
        </w:rPr>
        <w:t>Gemäß BVR-Rundschreiben vom 09.01.2023 entfallen für kleine, nicht-komplexe Institute gemäß Artikel 4 Nr. 145 CRR (SNCI) ab Meldestichtag 30.09.2023 die Asset-</w:t>
      </w:r>
      <w:proofErr w:type="spellStart"/>
      <w:r w:rsidRPr="003179F8">
        <w:rPr>
          <w:rFonts w:eastAsia="Times New Roman" w:cstheme="minorHAnsi"/>
          <w:bCs/>
          <w:snapToGrid w:val="0"/>
          <w:color w:val="auto"/>
          <w:sz w:val="24"/>
          <w:szCs w:val="24"/>
          <w:lang w:eastAsia="de-DE"/>
        </w:rPr>
        <w:t>Encumbrance</w:t>
      </w:r>
      <w:proofErr w:type="spellEnd"/>
      <w:r w:rsidRPr="003179F8">
        <w:rPr>
          <w:rFonts w:eastAsia="Times New Roman" w:cstheme="minorHAnsi"/>
          <w:bCs/>
          <w:snapToGrid w:val="0"/>
          <w:color w:val="auto"/>
          <w:sz w:val="24"/>
          <w:szCs w:val="24"/>
          <w:lang w:eastAsia="de-DE"/>
        </w:rPr>
        <w:t>-Meldebögen F 33.00, F 34.00 und F 36.00 – unabhängig von der Höhe der Asset-</w:t>
      </w:r>
      <w:proofErr w:type="spellStart"/>
      <w:r w:rsidRPr="003179F8">
        <w:rPr>
          <w:rFonts w:eastAsia="Times New Roman" w:cstheme="minorHAnsi"/>
          <w:bCs/>
          <w:snapToGrid w:val="0"/>
          <w:color w:val="auto"/>
          <w:sz w:val="24"/>
          <w:szCs w:val="24"/>
          <w:lang w:eastAsia="de-DE"/>
        </w:rPr>
        <w:t>Encumbrance</w:t>
      </w:r>
      <w:proofErr w:type="spellEnd"/>
      <w:r w:rsidRPr="003179F8">
        <w:rPr>
          <w:rFonts w:eastAsia="Times New Roman" w:cstheme="minorHAnsi"/>
          <w:bCs/>
          <w:snapToGrid w:val="0"/>
          <w:color w:val="auto"/>
          <w:sz w:val="24"/>
          <w:szCs w:val="24"/>
          <w:lang w:eastAsia="de-DE"/>
        </w:rPr>
        <w:t>-Quote.</w:t>
      </w:r>
    </w:p>
    <w:p w14:paraId="795429E8" w14:textId="46FBE0B9" w:rsidR="00A617A1" w:rsidRPr="000954C2" w:rsidRDefault="00A617A1" w:rsidP="00A617A1">
      <w:pPr>
        <w:pStyle w:val="berschrift3"/>
        <w:rPr>
          <w:sz w:val="24"/>
          <w:szCs w:val="24"/>
        </w:rPr>
      </w:pPr>
      <w:bookmarkStart w:id="78" w:name="_Toc172294783"/>
      <w:proofErr w:type="spellStart"/>
      <w:r w:rsidRPr="000954C2">
        <w:rPr>
          <w:sz w:val="24"/>
          <w:szCs w:val="24"/>
        </w:rPr>
        <w:t>FinaRisikoV</w:t>
      </w:r>
      <w:bookmarkEnd w:id="78"/>
      <w:proofErr w:type="spellEnd"/>
    </w:p>
    <w:p w14:paraId="68EF25E1" w14:textId="297B94C4" w:rsidR="00967B0D" w:rsidRPr="000954C2" w:rsidRDefault="00967B0D" w:rsidP="004C6500">
      <w:pPr>
        <w:rPr>
          <w:sz w:val="24"/>
          <w:szCs w:val="24"/>
        </w:rPr>
      </w:pPr>
      <w:r w:rsidRPr="000954C2">
        <w:rPr>
          <w:sz w:val="24"/>
          <w:szCs w:val="24"/>
        </w:rPr>
        <w:t>keine produktspezifischen Besonderheiten</w:t>
      </w:r>
    </w:p>
    <w:p w14:paraId="4F39E61A" w14:textId="6580178C" w:rsidR="00A617A1" w:rsidRPr="000954C2" w:rsidRDefault="00A617A1" w:rsidP="004C6500">
      <w:pPr>
        <w:pStyle w:val="berschrift3"/>
        <w:rPr>
          <w:sz w:val="24"/>
          <w:szCs w:val="24"/>
        </w:rPr>
      </w:pPr>
      <w:bookmarkStart w:id="79" w:name="_Toc172294784"/>
      <w:r w:rsidRPr="000954C2">
        <w:rPr>
          <w:sz w:val="24"/>
          <w:szCs w:val="24"/>
        </w:rPr>
        <w:t>Offenlegungsbericht</w:t>
      </w:r>
      <w:bookmarkEnd w:id="79"/>
    </w:p>
    <w:p w14:paraId="059D42A8" w14:textId="77777777" w:rsidR="00967B0D" w:rsidRPr="000954C2" w:rsidRDefault="00967B0D" w:rsidP="00967B0D">
      <w:pPr>
        <w:rPr>
          <w:sz w:val="24"/>
          <w:szCs w:val="24"/>
        </w:rPr>
      </w:pPr>
      <w:r w:rsidRPr="000954C2">
        <w:rPr>
          <w:sz w:val="24"/>
          <w:szCs w:val="24"/>
        </w:rPr>
        <w:t>keine produktspezifischen Besonderheiten</w:t>
      </w:r>
    </w:p>
    <w:p w14:paraId="7F1A7ADE" w14:textId="34C4E79A" w:rsidR="004B55F2" w:rsidRPr="000954C2" w:rsidRDefault="00895D53" w:rsidP="00895D53">
      <w:pPr>
        <w:pStyle w:val="berschrift3"/>
        <w:rPr>
          <w:sz w:val="24"/>
          <w:szCs w:val="24"/>
          <w:lang w:eastAsia="de-DE"/>
        </w:rPr>
      </w:pPr>
      <w:bookmarkStart w:id="80" w:name="_Toc172294785"/>
      <w:r w:rsidRPr="000954C2">
        <w:rPr>
          <w:sz w:val="24"/>
          <w:szCs w:val="24"/>
          <w:lang w:eastAsia="de-DE"/>
        </w:rPr>
        <w:t>Sonstige Meldepflichten</w:t>
      </w:r>
      <w:bookmarkEnd w:id="80"/>
    </w:p>
    <w:p w14:paraId="07EE7CE6" w14:textId="5D9D0783" w:rsidR="00895D53" w:rsidRDefault="006E6E97" w:rsidP="003179F8">
      <w:pPr>
        <w:jc w:val="both"/>
        <w:rPr>
          <w:sz w:val="24"/>
          <w:szCs w:val="24"/>
          <w:lang w:eastAsia="de-DE"/>
        </w:rPr>
      </w:pPr>
      <w:r w:rsidRPr="000954C2">
        <w:rPr>
          <w:sz w:val="24"/>
          <w:szCs w:val="24"/>
          <w:lang w:eastAsia="de-DE"/>
        </w:rPr>
        <w:t>nicht identifiziert</w:t>
      </w:r>
    </w:p>
    <w:p w14:paraId="38DD35E3" w14:textId="77777777" w:rsidR="000954C2" w:rsidRPr="000954C2" w:rsidRDefault="000954C2" w:rsidP="003179F8">
      <w:pPr>
        <w:jc w:val="both"/>
        <w:rPr>
          <w:sz w:val="24"/>
          <w:szCs w:val="24"/>
          <w:lang w:eastAsia="de-DE"/>
        </w:rPr>
      </w:pPr>
    </w:p>
    <w:p w14:paraId="3BBABED4" w14:textId="119DCC2F" w:rsidR="00F14614" w:rsidRPr="003179F8" w:rsidRDefault="00F14614" w:rsidP="003179F8">
      <w:pPr>
        <w:pStyle w:val="berschrift1"/>
        <w:spacing w:before="0" w:after="100"/>
        <w:jc w:val="both"/>
        <w:rPr>
          <w:rFonts w:eastAsia="Times New Roman"/>
          <w:snapToGrid w:val="0"/>
          <w:sz w:val="24"/>
          <w:szCs w:val="24"/>
          <w:lang w:eastAsia="de-DE"/>
        </w:rPr>
      </w:pPr>
      <w:bookmarkStart w:id="81" w:name="_Toc172294786"/>
      <w:r w:rsidRPr="003179F8">
        <w:rPr>
          <w:rFonts w:eastAsia="Times New Roman"/>
          <w:snapToGrid w:val="0"/>
          <w:sz w:val="24"/>
          <w:szCs w:val="24"/>
          <w:lang w:eastAsia="de-DE"/>
        </w:rPr>
        <w:t>Dokumentation</w:t>
      </w:r>
      <w:bookmarkEnd w:id="81"/>
    </w:p>
    <w:p w14:paraId="06379293" w14:textId="295892C5" w:rsidR="00F14614" w:rsidRPr="003179F8" w:rsidRDefault="00F14614" w:rsidP="003179F8">
      <w:pPr>
        <w:pStyle w:val="berschrift2"/>
        <w:spacing w:before="0" w:after="100"/>
        <w:jc w:val="both"/>
        <w:rPr>
          <w:rFonts w:eastAsia="Times New Roman"/>
          <w:snapToGrid w:val="0"/>
          <w:sz w:val="24"/>
          <w:szCs w:val="24"/>
          <w:lang w:eastAsia="de-DE"/>
        </w:rPr>
      </w:pPr>
      <w:bookmarkStart w:id="82" w:name="_Toc172294787"/>
      <w:r w:rsidRPr="003179F8">
        <w:rPr>
          <w:rFonts w:eastAsia="Times New Roman"/>
          <w:snapToGrid w:val="0"/>
          <w:sz w:val="24"/>
          <w:szCs w:val="24"/>
          <w:lang w:eastAsia="de-DE"/>
        </w:rPr>
        <w:t>Art und Umfang der produktspezifischen Prüfung</w:t>
      </w:r>
      <w:bookmarkEnd w:id="82"/>
    </w:p>
    <w:p w14:paraId="781C5191" w14:textId="77777777" w:rsidR="002939FD" w:rsidRPr="003179F8" w:rsidRDefault="002939FD" w:rsidP="003179F8">
      <w:pPr>
        <w:jc w:val="both"/>
        <w:rPr>
          <w:rFonts w:eastAsia="Times New Roman" w:cs="Arial"/>
          <w:snapToGrid w:val="0"/>
          <w:color w:val="auto"/>
          <w:sz w:val="24"/>
          <w:szCs w:val="24"/>
          <w:lang w:eastAsia="de-DE"/>
        </w:rPr>
      </w:pPr>
      <w:r w:rsidRPr="003179F8">
        <w:rPr>
          <w:rFonts w:eastAsia="Times New Roman" w:cs="Arial"/>
          <w:snapToGrid w:val="0"/>
          <w:color w:val="auto"/>
          <w:sz w:val="24"/>
          <w:szCs w:val="24"/>
          <w:lang w:eastAsia="de-DE"/>
        </w:rPr>
        <w:t>[Die Interne Revision prüft diese Konzeption und den Ablauf des Testgeschäftes prozessbegleitend.)</w:t>
      </w:r>
    </w:p>
    <w:p w14:paraId="41DB4962" w14:textId="62A1E6B3" w:rsidR="002939FD" w:rsidRPr="003179F8" w:rsidRDefault="002939FD" w:rsidP="003179F8">
      <w:pPr>
        <w:jc w:val="both"/>
        <w:rPr>
          <w:rFonts w:eastAsia="Times New Roman" w:cs="Arial"/>
          <w:snapToGrid w:val="0"/>
          <w:color w:val="auto"/>
          <w:sz w:val="24"/>
          <w:szCs w:val="24"/>
          <w:lang w:eastAsia="de-DE"/>
        </w:rPr>
      </w:pPr>
      <w:r w:rsidRPr="003179F8">
        <w:rPr>
          <w:rFonts w:eastAsia="Times New Roman" w:cs="Times New Roman"/>
          <w:snapToGrid w:val="0"/>
          <w:color w:val="auto"/>
          <w:sz w:val="24"/>
          <w:szCs w:val="24"/>
          <w:lang w:eastAsia="de-DE"/>
        </w:rPr>
        <w:t>institutsindividuell ist zu ergänzen:</w:t>
      </w:r>
    </w:p>
    <w:p w14:paraId="149B0AEC" w14:textId="77777777" w:rsidR="002939FD" w:rsidRPr="003179F8" w:rsidRDefault="002939FD" w:rsidP="003179F8">
      <w:pPr>
        <w:numPr>
          <w:ilvl w:val="0"/>
          <w:numId w:val="16"/>
        </w:numPr>
        <w:jc w:val="both"/>
        <w:rPr>
          <w:rFonts w:eastAsia="Times New Roman" w:cs="Times New Roman"/>
          <w:snapToGrid w:val="0"/>
          <w:color w:val="auto"/>
          <w:sz w:val="24"/>
          <w:szCs w:val="24"/>
          <w:lang w:eastAsia="de-DE"/>
        </w:rPr>
      </w:pPr>
      <w:r w:rsidRPr="003179F8">
        <w:rPr>
          <w:rFonts w:eastAsia="Times New Roman" w:cs="Times New Roman"/>
          <w:color w:val="auto"/>
          <w:sz w:val="24"/>
          <w:szCs w:val="24"/>
          <w:lang w:eastAsia="de-DE"/>
        </w:rPr>
        <w:t>Darstellung der Revisionsrelevanz des neuen Produktes</w:t>
      </w:r>
    </w:p>
    <w:p w14:paraId="1AFEBCCE" w14:textId="77777777" w:rsidR="002939FD" w:rsidRPr="003179F8" w:rsidRDefault="002939FD" w:rsidP="003179F8">
      <w:pPr>
        <w:numPr>
          <w:ilvl w:val="0"/>
          <w:numId w:val="16"/>
        </w:numPr>
        <w:jc w:val="both"/>
        <w:rPr>
          <w:rFonts w:eastAsia="Times New Roman" w:cs="Times New Roman"/>
          <w:snapToGrid w:val="0"/>
          <w:color w:val="auto"/>
          <w:sz w:val="24"/>
          <w:szCs w:val="24"/>
          <w:lang w:eastAsia="de-DE"/>
        </w:rPr>
      </w:pPr>
      <w:r w:rsidRPr="003179F8">
        <w:rPr>
          <w:rFonts w:eastAsia="Times New Roman" w:cs="Times New Roman"/>
          <w:color w:val="auto"/>
          <w:sz w:val="24"/>
          <w:szCs w:val="24"/>
          <w:lang w:eastAsia="de-DE"/>
        </w:rPr>
        <w:t>Dokumentation der Überprüfung der Testphase</w:t>
      </w:r>
    </w:p>
    <w:p w14:paraId="399DDFBC" w14:textId="77777777" w:rsidR="002939FD" w:rsidRPr="003179F8" w:rsidRDefault="002939FD" w:rsidP="003179F8">
      <w:pPr>
        <w:numPr>
          <w:ilvl w:val="0"/>
          <w:numId w:val="16"/>
        </w:numPr>
        <w:jc w:val="both"/>
        <w:rPr>
          <w:rFonts w:eastAsia="Times New Roman" w:cs="Times New Roman"/>
          <w:snapToGrid w:val="0"/>
          <w:color w:val="auto"/>
          <w:sz w:val="24"/>
          <w:szCs w:val="24"/>
          <w:lang w:eastAsia="de-DE"/>
        </w:rPr>
      </w:pPr>
      <w:r w:rsidRPr="003179F8">
        <w:rPr>
          <w:rFonts w:eastAsia="Times New Roman" w:cs="Times New Roman"/>
          <w:snapToGrid w:val="0"/>
          <w:color w:val="auto"/>
          <w:sz w:val="24"/>
          <w:szCs w:val="24"/>
          <w:lang w:eastAsia="de-DE"/>
        </w:rPr>
        <w:t>Einholung der jährlichen Saldenbestätigung für Finanzderivate (schwebende Geschäfte)</w:t>
      </w:r>
    </w:p>
    <w:p w14:paraId="789D1246" w14:textId="71722122" w:rsidR="002939FD" w:rsidRPr="003179F8" w:rsidRDefault="002939FD" w:rsidP="003179F8">
      <w:pPr>
        <w:jc w:val="both"/>
        <w:rPr>
          <w:rFonts w:eastAsia="Times New Roman" w:cs="Times New Roman"/>
          <w:color w:val="auto"/>
          <w:sz w:val="24"/>
          <w:szCs w:val="24"/>
          <w:lang w:eastAsia="de-DE"/>
        </w:rPr>
      </w:pPr>
      <w:r w:rsidRPr="003179F8">
        <w:rPr>
          <w:rFonts w:eastAsia="Times New Roman" w:cs="Times New Roman"/>
          <w:color w:val="auto"/>
          <w:sz w:val="24"/>
          <w:szCs w:val="24"/>
          <w:lang w:eastAsia="de-DE"/>
        </w:rPr>
        <w:t>Nach erfolgreichem Abschluss der Testphase und Aufnahme des Handels wird die Interne Revision diesen Sachverhalt im Rahmen ihrer regelmäßigen risikoorientierten Prüfungen berücksichtigen.</w:t>
      </w:r>
    </w:p>
    <w:p w14:paraId="46035D58" w14:textId="77777777" w:rsidR="002939FD" w:rsidRPr="003179F8" w:rsidRDefault="002939FD" w:rsidP="003179F8">
      <w:pPr>
        <w:jc w:val="both"/>
        <w:rPr>
          <w:sz w:val="24"/>
          <w:szCs w:val="24"/>
          <w:lang w:eastAsia="de-DE"/>
        </w:rPr>
      </w:pPr>
    </w:p>
    <w:p w14:paraId="1CFED6CA" w14:textId="44926C51" w:rsidR="00F14614" w:rsidRPr="003179F8" w:rsidRDefault="00F14614" w:rsidP="003179F8">
      <w:pPr>
        <w:pStyle w:val="berschrift2"/>
        <w:spacing w:before="0" w:after="100"/>
        <w:jc w:val="both"/>
        <w:rPr>
          <w:rFonts w:eastAsia="Times New Roman"/>
          <w:snapToGrid w:val="0"/>
          <w:sz w:val="24"/>
          <w:szCs w:val="24"/>
          <w:lang w:eastAsia="de-DE"/>
        </w:rPr>
      </w:pPr>
      <w:bookmarkStart w:id="83" w:name="_Toc172294788"/>
      <w:r w:rsidRPr="003179F8">
        <w:rPr>
          <w:rFonts w:eastAsia="Times New Roman"/>
          <w:snapToGrid w:val="0"/>
          <w:sz w:val="24"/>
          <w:szCs w:val="24"/>
          <w:lang w:eastAsia="de-DE"/>
        </w:rPr>
        <w:t>Beteiligung Risikocontrolling</w:t>
      </w:r>
      <w:r w:rsidR="00A617A1">
        <w:rPr>
          <w:rFonts w:eastAsia="Times New Roman"/>
          <w:snapToGrid w:val="0"/>
          <w:sz w:val="24"/>
          <w:szCs w:val="24"/>
          <w:lang w:eastAsia="de-DE"/>
        </w:rPr>
        <w:t xml:space="preserve"> und Compliance</w:t>
      </w:r>
      <w:bookmarkEnd w:id="83"/>
    </w:p>
    <w:p w14:paraId="6B96DE8D" w14:textId="77777777" w:rsidR="002939FD" w:rsidRPr="003179F8" w:rsidRDefault="002939FD" w:rsidP="003179F8">
      <w:pPr>
        <w:jc w:val="both"/>
        <w:rPr>
          <w:color w:val="000000"/>
          <w:sz w:val="24"/>
          <w:szCs w:val="24"/>
        </w:rPr>
      </w:pPr>
      <w:r w:rsidRPr="003179F8">
        <w:rPr>
          <w:color w:val="000000"/>
          <w:sz w:val="24"/>
          <w:szCs w:val="24"/>
        </w:rPr>
        <w:t>Im Rahmen Ihrer Aufgaben sind auch die Risikocontrolling-Funktion bei der Erstellung des Konzeptes zu beteiligen.</w:t>
      </w:r>
    </w:p>
    <w:p w14:paraId="7CA68970" w14:textId="77777777" w:rsidR="002939FD" w:rsidRPr="003179F8" w:rsidRDefault="002939FD" w:rsidP="003179F8">
      <w:pPr>
        <w:jc w:val="both"/>
        <w:rPr>
          <w:sz w:val="24"/>
          <w:szCs w:val="24"/>
          <w:lang w:eastAsia="de-DE"/>
        </w:rPr>
      </w:pPr>
    </w:p>
    <w:p w14:paraId="7782BE80" w14:textId="1ACCCCDB" w:rsidR="00F14614" w:rsidRPr="003179F8" w:rsidRDefault="00F14614" w:rsidP="003179F8">
      <w:pPr>
        <w:pStyle w:val="berschrift2"/>
        <w:spacing w:before="0" w:after="100"/>
        <w:jc w:val="both"/>
        <w:rPr>
          <w:rFonts w:eastAsia="Times New Roman"/>
          <w:snapToGrid w:val="0"/>
          <w:sz w:val="24"/>
          <w:szCs w:val="24"/>
          <w:lang w:eastAsia="de-DE"/>
        </w:rPr>
      </w:pPr>
      <w:bookmarkStart w:id="84" w:name="_Toc169786559"/>
      <w:bookmarkStart w:id="85" w:name="_Toc172294789"/>
      <w:r w:rsidRPr="003179F8">
        <w:rPr>
          <w:rFonts w:eastAsia="Times New Roman"/>
          <w:snapToGrid w:val="0"/>
          <w:sz w:val="24"/>
          <w:szCs w:val="24"/>
          <w:lang w:eastAsia="de-DE"/>
        </w:rPr>
        <w:lastRenderedPageBreak/>
        <w:t>Beteiligung Compliance</w:t>
      </w:r>
      <w:bookmarkEnd w:id="84"/>
      <w:bookmarkEnd w:id="85"/>
    </w:p>
    <w:p w14:paraId="53605EB5" w14:textId="56743E25" w:rsidR="002939FD" w:rsidRDefault="0023508D" w:rsidP="003179F8">
      <w:pPr>
        <w:jc w:val="both"/>
        <w:rPr>
          <w:sz w:val="24"/>
          <w:szCs w:val="24"/>
          <w:lang w:eastAsia="de-DE"/>
        </w:rPr>
      </w:pPr>
      <w:r w:rsidRPr="0023508D">
        <w:rPr>
          <w:sz w:val="24"/>
          <w:szCs w:val="24"/>
          <w:lang w:eastAsia="de-DE"/>
        </w:rPr>
        <w:t>Im Rahmen Ihrer Aufgaben sind auch die Compliance Funktion bei der Erstellung des Konzeptes zu beteiligen.</w:t>
      </w:r>
    </w:p>
    <w:p w14:paraId="2C838274" w14:textId="77777777" w:rsidR="0023508D" w:rsidRPr="003179F8" w:rsidRDefault="0023508D" w:rsidP="003179F8">
      <w:pPr>
        <w:jc w:val="both"/>
        <w:rPr>
          <w:sz w:val="24"/>
          <w:szCs w:val="24"/>
          <w:lang w:eastAsia="de-DE"/>
        </w:rPr>
      </w:pPr>
    </w:p>
    <w:p w14:paraId="6DD31A66" w14:textId="754D7291" w:rsidR="00F14614" w:rsidRPr="003179F8" w:rsidRDefault="00F14614" w:rsidP="003179F8">
      <w:pPr>
        <w:pStyle w:val="berschrift2"/>
        <w:spacing w:before="0" w:after="100"/>
        <w:jc w:val="both"/>
        <w:rPr>
          <w:rFonts w:eastAsia="Times New Roman"/>
          <w:snapToGrid w:val="0"/>
          <w:sz w:val="24"/>
          <w:szCs w:val="24"/>
          <w:lang w:eastAsia="de-DE"/>
        </w:rPr>
      </w:pPr>
      <w:bookmarkStart w:id="86" w:name="_Toc172294790"/>
      <w:r w:rsidRPr="003179F8">
        <w:rPr>
          <w:rFonts w:eastAsia="Times New Roman"/>
          <w:snapToGrid w:val="0"/>
          <w:sz w:val="24"/>
          <w:szCs w:val="24"/>
          <w:lang w:eastAsia="de-DE"/>
        </w:rPr>
        <w:t>Testphase und Fachbereichsvoten</w:t>
      </w:r>
      <w:bookmarkEnd w:id="86"/>
    </w:p>
    <w:p w14:paraId="734C7E50" w14:textId="77777777" w:rsidR="002939FD" w:rsidRPr="003179F8" w:rsidRDefault="002939FD" w:rsidP="003179F8">
      <w:pPr>
        <w:jc w:val="both"/>
        <w:rPr>
          <w:rFonts w:eastAsia="Times New Roman" w:cs="Times New Roman"/>
          <w:color w:val="000000"/>
          <w:sz w:val="24"/>
          <w:szCs w:val="24"/>
          <w:lang w:eastAsia="de-DE"/>
        </w:rPr>
      </w:pPr>
      <w:r w:rsidRPr="003179F8">
        <w:rPr>
          <w:rFonts w:eastAsia="Times New Roman" w:cs="Times New Roman"/>
          <w:color w:val="000000"/>
          <w:sz w:val="24"/>
          <w:szCs w:val="24"/>
          <w:lang w:eastAsia="de-DE"/>
        </w:rPr>
        <w:t>Die Erstellung dieses Konzepts wird durch eine Testphase unterstützt, um die für einen ordnungsgemäßen Ablauf notwendigen Informationen zu ermitteln.</w:t>
      </w:r>
    </w:p>
    <w:p w14:paraId="5896B94C" w14:textId="12F66318" w:rsidR="002939FD" w:rsidRPr="003179F8" w:rsidRDefault="002939FD" w:rsidP="003179F8">
      <w:pPr>
        <w:jc w:val="both"/>
        <w:rPr>
          <w:rFonts w:eastAsia="Times New Roman" w:cs="Times New Roman"/>
          <w:color w:val="000000"/>
          <w:sz w:val="24"/>
          <w:szCs w:val="24"/>
          <w:lang w:eastAsia="de-DE"/>
        </w:rPr>
      </w:pPr>
      <w:r w:rsidRPr="003179F8">
        <w:rPr>
          <w:rFonts w:eastAsia="Times New Roman" w:cs="Times New Roman"/>
          <w:color w:val="000000"/>
          <w:sz w:val="24"/>
          <w:szCs w:val="24"/>
          <w:lang w:eastAsia="de-DE"/>
        </w:rPr>
        <w:t>Im Falle eines Einmalgeschäftes kann auf die Durchführung einer Testphase verzichtet werden. Einmalgeschäfte liegen immer dann vor, wenn kein Folgegeschäft geplant ist.</w:t>
      </w:r>
    </w:p>
    <w:p w14:paraId="294F8ABA" w14:textId="77777777" w:rsidR="002939FD" w:rsidRPr="003179F8" w:rsidRDefault="002939FD" w:rsidP="003179F8">
      <w:pPr>
        <w:jc w:val="both"/>
        <w:rPr>
          <w:rFonts w:eastAsia="Times New Roman" w:cs="Times New Roman"/>
          <w:color w:val="000000"/>
          <w:sz w:val="24"/>
          <w:szCs w:val="24"/>
          <w:lang w:eastAsia="de-DE"/>
        </w:rPr>
      </w:pPr>
      <w:r w:rsidRPr="003179F8">
        <w:rPr>
          <w:rFonts w:eastAsia="Times New Roman" w:cs="Times New Roman"/>
          <w:color w:val="000000"/>
          <w:sz w:val="24"/>
          <w:szCs w:val="24"/>
          <w:lang w:eastAsia="de-DE"/>
        </w:rPr>
        <w:t>Für die Durchführung der Testphase wird bzgl. der prozessualen Anforderungen insbesondere auf Informationen der zentralen Dienstleister und Verbundpartner und diesen zugrunde liegenden Erfahrungen und Tests mit anderen Genossenschaftsbanken zurückgegriffen.</w:t>
      </w:r>
    </w:p>
    <w:p w14:paraId="6B89CD8C" w14:textId="0155C7FA" w:rsidR="002939FD" w:rsidRPr="003179F8" w:rsidRDefault="002939FD" w:rsidP="003179F8">
      <w:pPr>
        <w:jc w:val="both"/>
        <w:rPr>
          <w:rFonts w:eastAsia="Times New Roman" w:cs="Times New Roman"/>
          <w:color w:val="000000"/>
          <w:sz w:val="24"/>
          <w:szCs w:val="24"/>
          <w:lang w:eastAsia="de-DE"/>
        </w:rPr>
      </w:pPr>
      <w:r w:rsidRPr="003179F8">
        <w:rPr>
          <w:rFonts w:eastAsia="Times New Roman" w:cs="Times New Roman"/>
          <w:color w:val="000000"/>
          <w:sz w:val="24"/>
          <w:szCs w:val="24"/>
          <w:lang w:eastAsia="de-DE"/>
        </w:rPr>
        <w:t>Die Testphase kann bei Bedarf, falls nur so bestimmte Fragestellungen angemessen getestet werden können, um entsprechende Testgeschäfte in dem neuen Produkt ergänzt werden. Gemäß MaRisk dürfen jedoch während der Testphase Handelsgeschäfte nur in überschaubarem Umfang durchgeführt werden. Das Erstgeschäft eines Repos dient als Testgeschäft, um insbesondere die ordnungsgemäße Erfassung und Verarbeitung in den Prozessen und Systemen zu überprüfen.</w:t>
      </w:r>
    </w:p>
    <w:p w14:paraId="209F54BE" w14:textId="77777777" w:rsidR="002939FD" w:rsidRDefault="002939FD" w:rsidP="003179F8">
      <w:pPr>
        <w:jc w:val="both"/>
        <w:rPr>
          <w:rFonts w:eastAsia="Times New Roman" w:cs="Times New Roman"/>
          <w:color w:val="000000"/>
          <w:sz w:val="24"/>
          <w:szCs w:val="24"/>
          <w:lang w:eastAsia="de-DE"/>
        </w:rPr>
      </w:pPr>
      <w:r w:rsidRPr="003179F8">
        <w:rPr>
          <w:rFonts w:eastAsia="Times New Roman" w:cs="Times New Roman"/>
          <w:color w:val="000000"/>
          <w:sz w:val="24"/>
          <w:szCs w:val="24"/>
          <w:lang w:eastAsia="de-DE"/>
        </w:rPr>
        <w:t>Bevor das Produkt in den laufenden Handel aufgenommen wird, bestätigen alle beteiligten Mitarbeiter schriftlich, dass das Produkt korrekt in den bestehenden Rahmenbedingungen abgebildet werden kann.</w:t>
      </w:r>
    </w:p>
    <w:p w14:paraId="720EBC69" w14:textId="77777777" w:rsidR="00B54A6F" w:rsidRPr="003179F8" w:rsidRDefault="00B54A6F" w:rsidP="003179F8">
      <w:pPr>
        <w:jc w:val="both"/>
        <w:rPr>
          <w:rFonts w:eastAsia="Times New Roman" w:cs="Times New Roman"/>
          <w:color w:val="000000"/>
          <w:sz w:val="24"/>
          <w:szCs w:val="24"/>
          <w:lang w:eastAsia="de-DE"/>
        </w:rPr>
      </w:pPr>
    </w:p>
    <w:p w14:paraId="1B82D19F" w14:textId="77777777" w:rsidR="002939FD" w:rsidRPr="003179F8" w:rsidRDefault="002939FD" w:rsidP="003179F8">
      <w:pPr>
        <w:jc w:val="both"/>
        <w:rPr>
          <w:rFonts w:eastAsia="Times New Roman" w:cs="Times New Roman"/>
          <w:color w:val="000000"/>
          <w:sz w:val="24"/>
          <w:szCs w:val="24"/>
          <w:lang w:eastAsia="de-DE"/>
        </w:rPr>
      </w:pPr>
      <w:r w:rsidRPr="003179F8">
        <w:rPr>
          <w:rFonts w:eastAsia="Times New Roman" w:cs="Times New Roman"/>
          <w:color w:val="000000"/>
          <w:sz w:val="24"/>
          <w:szCs w:val="24"/>
          <w:lang w:eastAsia="de-DE"/>
        </w:rPr>
        <w:t>Finale Dokumentation des NPP (Zusammenfassung der Teilvoten zu einem Gesamtvotum):</w:t>
      </w:r>
    </w:p>
    <w:p w14:paraId="04B07704" w14:textId="77777777" w:rsidR="002939FD" w:rsidRPr="003179F8" w:rsidRDefault="002939FD" w:rsidP="003179F8">
      <w:pPr>
        <w:jc w:val="both"/>
        <w:rPr>
          <w:rFonts w:eastAsia="Times New Roman" w:cs="Times New Roman"/>
          <w:color w:val="000000"/>
          <w:sz w:val="24"/>
          <w:szCs w:val="24"/>
          <w:lang w:eastAsia="de-DE"/>
        </w:rPr>
      </w:pPr>
      <w:r w:rsidRPr="003179F8">
        <w:rPr>
          <w:rFonts w:eastAsia="Times New Roman" w:cs="Times New Roman"/>
          <w:color w:val="000000"/>
          <w:sz w:val="24"/>
          <w:szCs w:val="24"/>
          <w:lang w:eastAsia="de-DE"/>
        </w:rPr>
        <w:t>Auf Basis des erarbeiteten Konzepts zur Produkteinführung wurde die korrekte Abbildung des neuen Produktes Repo in den bestehenden Risikomesssystemen, dem Reporting, Rechnungswesen und Meldewesen anhand eines Erstgeschäfts geprüft. Im Ergebnis ist das Produkt Repo von den nachfolgend unterzeichnenden Vertretern der relevanten Funktionsbereiche ordnungsgemäß zu handhaben.</w:t>
      </w:r>
    </w:p>
    <w:p w14:paraId="00D2750D" w14:textId="77777777" w:rsidR="002939FD" w:rsidRPr="003179F8" w:rsidRDefault="002939FD" w:rsidP="003179F8">
      <w:pPr>
        <w:jc w:val="both"/>
        <w:rPr>
          <w:rFonts w:eastAsia="Times New Roman" w:cs="Times New Roman"/>
          <w:color w:val="000000"/>
          <w:sz w:val="24"/>
          <w:szCs w:val="24"/>
          <w:lang w:eastAsia="de-DE"/>
        </w:rPr>
      </w:pPr>
      <w:r w:rsidRPr="003179F8">
        <w:rPr>
          <w:rFonts w:eastAsia="Times New Roman" w:cs="Times New Roman"/>
          <w:color w:val="000000"/>
          <w:sz w:val="24"/>
          <w:szCs w:val="24"/>
          <w:lang w:eastAsia="de-DE"/>
        </w:rPr>
        <w:t>Die Organisationsrichtlinien der betreffenden Funktionsbereiche (Arbeitsanweisungen, Stellenbeschreibungen, Notfallplanung) sind auf das neue Produkt angepasst bzw. die Einarbeitung in die bestehenden Dokumentationen wurde angestoßen. [Dokumentation der erarbeiteten Maßnahmen in Form von Teilprozessen, Formularen und Richtlinien.]</w:t>
      </w:r>
    </w:p>
    <w:p w14:paraId="24E127BA"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Unterschrift Mitarbeiter/Markt (Handel …………………………</w:t>
      </w:r>
      <w:proofErr w:type="gramStart"/>
      <w:r w:rsidRPr="003179F8">
        <w:rPr>
          <w:rFonts w:ascii="Frutiger 45 Light" w:hAnsi="Frutiger 45 Light" w:cstheme="minorHAnsi"/>
          <w:color w:val="000000"/>
        </w:rPr>
        <w:t>…….</w:t>
      </w:r>
      <w:proofErr w:type="gramEnd"/>
      <w:r w:rsidRPr="003179F8">
        <w:rPr>
          <w:rFonts w:ascii="Frutiger 45 Light" w:hAnsi="Frutiger 45 Light" w:cstheme="minorHAnsi"/>
          <w:color w:val="000000"/>
        </w:rPr>
        <w:t>…………………..…</w:t>
      </w:r>
    </w:p>
    <w:p w14:paraId="6CBDC04B" w14:textId="5F0EE515"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Unterschrift Mitarbeiter Abwicklung/Kontrolle……………………………</w:t>
      </w:r>
      <w:proofErr w:type="gramStart"/>
      <w:r w:rsidRPr="003179F8">
        <w:rPr>
          <w:rFonts w:ascii="Frutiger 45 Light" w:hAnsi="Frutiger 45 Light" w:cstheme="minorHAnsi"/>
          <w:color w:val="000000"/>
        </w:rPr>
        <w:t>…….</w:t>
      </w:r>
      <w:proofErr w:type="gramEnd"/>
      <w:r w:rsidRPr="003179F8">
        <w:rPr>
          <w:rFonts w:ascii="Frutiger 45 Light" w:hAnsi="Frutiger 45 Light" w:cstheme="minorHAnsi"/>
          <w:color w:val="000000"/>
        </w:rPr>
        <w:t>……….….</w:t>
      </w:r>
      <w:r w:rsidR="0007217F">
        <w:rPr>
          <w:rFonts w:ascii="Frutiger 45 Light" w:hAnsi="Frutiger 45 Light" w:cstheme="minorHAnsi"/>
          <w:color w:val="000000"/>
        </w:rPr>
        <w:t>.</w:t>
      </w:r>
    </w:p>
    <w:p w14:paraId="4686EBA7" w14:textId="36B95D6A"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Unterschrift Mitarbeiter/Marktfolge (Kredit) …………………………………</w:t>
      </w:r>
      <w:proofErr w:type="gramStart"/>
      <w:r w:rsidRPr="003179F8">
        <w:rPr>
          <w:rFonts w:ascii="Frutiger 45 Light" w:hAnsi="Frutiger 45 Light" w:cstheme="minorHAnsi"/>
          <w:color w:val="000000"/>
        </w:rPr>
        <w:t>…….</w:t>
      </w:r>
      <w:proofErr w:type="gramEnd"/>
      <w:r w:rsidRPr="003179F8">
        <w:rPr>
          <w:rFonts w:ascii="Frutiger 45 Light" w:hAnsi="Frutiger 45 Light" w:cstheme="minorHAnsi"/>
          <w:color w:val="000000"/>
        </w:rPr>
        <w:t>…..……</w:t>
      </w:r>
      <w:r w:rsidR="0007217F">
        <w:rPr>
          <w:rFonts w:ascii="Frutiger 45 Light" w:hAnsi="Frutiger 45 Light" w:cstheme="minorHAnsi"/>
          <w:color w:val="000000"/>
        </w:rPr>
        <w:t>.</w:t>
      </w:r>
    </w:p>
    <w:p w14:paraId="410B4534" w14:textId="74EF17EB"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Unterschrift Mitarbeiter/Rechnungswesen ………………………………………</w:t>
      </w:r>
      <w:proofErr w:type="gramStart"/>
      <w:r w:rsidRPr="003179F8">
        <w:rPr>
          <w:rFonts w:ascii="Frutiger 45 Light" w:hAnsi="Frutiger 45 Light" w:cstheme="minorHAnsi"/>
          <w:color w:val="000000"/>
        </w:rPr>
        <w:t>…....</w:t>
      </w:r>
      <w:proofErr w:type="gramEnd"/>
      <w:r w:rsidRPr="003179F8">
        <w:rPr>
          <w:rFonts w:ascii="Frutiger 45 Light" w:hAnsi="Frutiger 45 Light" w:cstheme="minorHAnsi"/>
          <w:color w:val="000000"/>
        </w:rPr>
        <w:t>……</w:t>
      </w:r>
      <w:r w:rsidR="0007217F">
        <w:rPr>
          <w:rFonts w:ascii="Frutiger 45 Light" w:hAnsi="Frutiger 45 Light" w:cstheme="minorHAnsi"/>
          <w:color w:val="000000"/>
        </w:rPr>
        <w:t>..</w:t>
      </w:r>
    </w:p>
    <w:p w14:paraId="686AA611" w14:textId="58E19819"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Unterschrift Mitarbeiter/Meldewesen …………………………………………</w:t>
      </w:r>
      <w:proofErr w:type="gramStart"/>
      <w:r w:rsidRPr="003179F8">
        <w:rPr>
          <w:rFonts w:ascii="Frutiger 45 Light" w:hAnsi="Frutiger 45 Light" w:cstheme="minorHAnsi"/>
          <w:color w:val="000000"/>
        </w:rPr>
        <w:t>…….</w:t>
      </w:r>
      <w:proofErr w:type="gramEnd"/>
      <w:r w:rsidRPr="003179F8">
        <w:rPr>
          <w:rFonts w:ascii="Frutiger 45 Light" w:hAnsi="Frutiger 45 Light" w:cstheme="minorHAnsi"/>
          <w:color w:val="000000"/>
        </w:rPr>
        <w:t>………</w:t>
      </w:r>
      <w:r w:rsidR="0007217F">
        <w:rPr>
          <w:rFonts w:ascii="Frutiger 45 Light" w:hAnsi="Frutiger 45 Light" w:cstheme="minorHAnsi"/>
          <w:color w:val="000000"/>
        </w:rPr>
        <w:t>.</w:t>
      </w:r>
    </w:p>
    <w:p w14:paraId="5E71D3A2" w14:textId="3E9FABC9"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Unterschrift Mitarbeiter/Risiko-Controlling ……………………………...………</w:t>
      </w:r>
      <w:proofErr w:type="gramStart"/>
      <w:r w:rsidRPr="003179F8">
        <w:rPr>
          <w:rFonts w:ascii="Frutiger 45 Light" w:hAnsi="Frutiger 45 Light" w:cstheme="minorHAnsi"/>
          <w:color w:val="000000"/>
        </w:rPr>
        <w:t>…….</w:t>
      </w:r>
      <w:proofErr w:type="gramEnd"/>
      <w:r w:rsidRPr="003179F8">
        <w:rPr>
          <w:rFonts w:ascii="Frutiger 45 Light" w:hAnsi="Frutiger 45 Light" w:cstheme="minorHAnsi"/>
          <w:color w:val="000000"/>
        </w:rPr>
        <w:t>……</w:t>
      </w:r>
      <w:r w:rsidR="0007217F">
        <w:rPr>
          <w:rFonts w:ascii="Frutiger 45 Light" w:hAnsi="Frutiger 45 Light" w:cstheme="minorHAnsi"/>
          <w:color w:val="000000"/>
        </w:rPr>
        <w:t>.</w:t>
      </w:r>
    </w:p>
    <w:p w14:paraId="4FD0D88C" w14:textId="37D8502D"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Unterschrift Mitarbeiter/Interne Revision ……………………………………..............……</w:t>
      </w:r>
      <w:r w:rsidR="0007217F">
        <w:rPr>
          <w:rFonts w:ascii="Frutiger 45 Light" w:hAnsi="Frutiger 45 Light" w:cstheme="minorHAnsi"/>
          <w:color w:val="000000"/>
        </w:rPr>
        <w:t>.</w:t>
      </w:r>
    </w:p>
    <w:p w14:paraId="1A1065E0"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Unterschrift Mitarbeiter Compliance……………………………………………………...….</w:t>
      </w:r>
    </w:p>
    <w:p w14:paraId="3731245B" w14:textId="77777777" w:rsidR="002939FD" w:rsidRPr="003179F8" w:rsidRDefault="002939FD" w:rsidP="003179F8">
      <w:pPr>
        <w:jc w:val="both"/>
        <w:rPr>
          <w:sz w:val="24"/>
          <w:szCs w:val="24"/>
          <w:lang w:eastAsia="de-DE"/>
        </w:rPr>
      </w:pPr>
    </w:p>
    <w:p w14:paraId="6DEAB862" w14:textId="4B79A0ED" w:rsidR="00FD7DDD" w:rsidRPr="003179F8" w:rsidRDefault="00F14614" w:rsidP="003179F8">
      <w:pPr>
        <w:pStyle w:val="berschrift1"/>
        <w:spacing w:before="0" w:after="100"/>
        <w:jc w:val="both"/>
        <w:rPr>
          <w:rFonts w:eastAsia="Times New Roman"/>
          <w:snapToGrid w:val="0"/>
          <w:sz w:val="24"/>
          <w:szCs w:val="24"/>
          <w:lang w:eastAsia="de-DE"/>
        </w:rPr>
      </w:pPr>
      <w:bookmarkStart w:id="87" w:name="_Toc172294791"/>
      <w:r w:rsidRPr="003179F8">
        <w:rPr>
          <w:rFonts w:eastAsia="Times New Roman"/>
          <w:snapToGrid w:val="0"/>
          <w:sz w:val="24"/>
          <w:szCs w:val="24"/>
          <w:lang w:eastAsia="de-DE"/>
        </w:rPr>
        <w:t>Beschluss und Genehmigung</w:t>
      </w:r>
      <w:bookmarkEnd w:id="87"/>
    </w:p>
    <w:p w14:paraId="0B7D45EE"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Nach erfolgreichem Abschluss des Neuproduktprozesses / der Testphase genehmigt der zuständige Vorstand unter Einbeziehung des Überwachungsvorstands dieses Konzept und beschließt über die Aufnahme des Produktes in die Risikostrategie/Rahmenbedingungen für Handelsgeschäfte und den Produktkatalog der Bank sowie damit die Aufnahme des laufenden Handels.</w:t>
      </w:r>
    </w:p>
    <w:p w14:paraId="5FF06F29"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p>
    <w:p w14:paraId="25E55E79"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Ort, Datum</w:t>
      </w:r>
    </w:p>
    <w:p w14:paraId="6B6614FB"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p>
    <w:p w14:paraId="463FD6E5"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p>
    <w:p w14:paraId="1A23F6D2"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Unterschriften des Vorstands</w:t>
      </w:r>
    </w:p>
    <w:p w14:paraId="70C091C8"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p>
    <w:p w14:paraId="26A5880A" w14:textId="77777777" w:rsidR="002939FD" w:rsidRPr="003179F8" w:rsidRDefault="002939FD" w:rsidP="003179F8">
      <w:pPr>
        <w:pStyle w:val="StandardWeb"/>
        <w:spacing w:before="0" w:beforeAutospacing="0" w:afterAutospacing="0"/>
        <w:jc w:val="both"/>
        <w:rPr>
          <w:rFonts w:ascii="Frutiger 45 Light" w:hAnsi="Frutiger 45 Light" w:cstheme="minorHAnsi"/>
          <w:color w:val="000000"/>
        </w:rPr>
      </w:pPr>
    </w:p>
    <w:p w14:paraId="141F89A1" w14:textId="54240842" w:rsidR="002939FD" w:rsidRPr="003179F8" w:rsidRDefault="002939FD" w:rsidP="003179F8">
      <w:pPr>
        <w:pStyle w:val="StandardWeb"/>
        <w:spacing w:before="0" w:beforeAutospacing="0" w:afterAutospacing="0"/>
        <w:jc w:val="both"/>
        <w:rPr>
          <w:rFonts w:ascii="Frutiger 45 Light" w:hAnsi="Frutiger 45 Light" w:cstheme="minorHAnsi"/>
          <w:color w:val="000000"/>
        </w:rPr>
      </w:pPr>
      <w:r w:rsidRPr="003179F8">
        <w:rPr>
          <w:rFonts w:ascii="Frutiger 45 Light" w:hAnsi="Frutiger 45 Light" w:cstheme="minorHAnsi"/>
          <w:color w:val="000000"/>
        </w:rPr>
        <w:t>Unterrichtung Aufsichtsrat am:</w:t>
      </w:r>
    </w:p>
    <w:sectPr w:rsidR="002939FD" w:rsidRPr="003179F8" w:rsidSect="00310C7B">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8C25" w14:textId="77777777" w:rsidR="00DD7207" w:rsidRDefault="00DD7207" w:rsidP="003710A6">
      <w:pPr>
        <w:spacing w:after="0"/>
      </w:pPr>
      <w:r>
        <w:separator/>
      </w:r>
    </w:p>
  </w:endnote>
  <w:endnote w:type="continuationSeparator" w:id="0">
    <w:p w14:paraId="62E1E4CC" w14:textId="77777777" w:rsidR="00DD7207" w:rsidRDefault="00DD7207" w:rsidP="003710A6">
      <w:pPr>
        <w:spacing w:after="0"/>
      </w:pPr>
      <w:r>
        <w:continuationSeparator/>
      </w:r>
    </w:p>
  </w:endnote>
  <w:endnote w:type="continuationNotice" w:id="1">
    <w:p w14:paraId="737A3D10" w14:textId="77777777" w:rsidR="00DD7207" w:rsidRDefault="00DD72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altName w:val="Corbel"/>
    <w:panose1 w:val="020B0303030504020204"/>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6E12" w14:textId="77777777" w:rsidR="00FE3B85" w:rsidRDefault="00FE3B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13340"/>
      <w:docPartObj>
        <w:docPartGallery w:val="Page Numbers (Bottom of Page)"/>
        <w:docPartUnique/>
      </w:docPartObj>
    </w:sdtPr>
    <w:sdtEndPr/>
    <w:sdtContent>
      <w:p w14:paraId="7399B519" w14:textId="41664171" w:rsidR="00BF31E2" w:rsidRDefault="00BF31E2">
        <w:pPr>
          <w:pStyle w:val="Fuzeile"/>
          <w:jc w:val="center"/>
        </w:pPr>
        <w:r>
          <w:fldChar w:fldCharType="begin"/>
        </w:r>
        <w:r>
          <w:instrText>PAGE   \* MERGEFORMAT</w:instrText>
        </w:r>
        <w:r>
          <w:fldChar w:fldCharType="separate"/>
        </w:r>
        <w:r>
          <w:t>2</w:t>
        </w:r>
        <w:r>
          <w:fldChar w:fldCharType="end"/>
        </w:r>
      </w:p>
    </w:sdtContent>
  </w:sdt>
  <w:p w14:paraId="2DC2CC8D" w14:textId="011AEA2D" w:rsidR="004A2F2B" w:rsidRDefault="00BF31E2" w:rsidP="00BF31E2">
    <w:pPr>
      <w:pStyle w:val="Fuzeile"/>
      <w:jc w:val="right"/>
    </w:pPr>
    <w:r>
      <w:t xml:space="preserve">Stand: </w:t>
    </w:r>
    <w:r w:rsidR="00267C3A">
      <w:t>Ju</w:t>
    </w:r>
    <w:r w:rsidR="00A30B7F">
      <w:t>l</w:t>
    </w:r>
    <w:r w:rsidR="00267C3A">
      <w:t>i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FF87" w14:textId="77777777" w:rsidR="00FE3B85" w:rsidRDefault="00FE3B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7945" w14:textId="77777777" w:rsidR="00DD7207" w:rsidRDefault="00DD7207" w:rsidP="003710A6">
      <w:pPr>
        <w:spacing w:after="0"/>
      </w:pPr>
      <w:r>
        <w:separator/>
      </w:r>
    </w:p>
  </w:footnote>
  <w:footnote w:type="continuationSeparator" w:id="0">
    <w:p w14:paraId="40DD53BE" w14:textId="77777777" w:rsidR="00DD7207" w:rsidRDefault="00DD7207" w:rsidP="003710A6">
      <w:pPr>
        <w:spacing w:after="0"/>
      </w:pPr>
      <w:r>
        <w:continuationSeparator/>
      </w:r>
    </w:p>
  </w:footnote>
  <w:footnote w:type="continuationNotice" w:id="1">
    <w:p w14:paraId="5945092B" w14:textId="77777777" w:rsidR="00DD7207" w:rsidRDefault="00DD7207">
      <w:pPr>
        <w:spacing w:after="0"/>
      </w:pPr>
    </w:p>
  </w:footnote>
  <w:footnote w:id="2">
    <w:p w14:paraId="2DD5F62A" w14:textId="43AA7AB1" w:rsidR="007B4EB8" w:rsidRDefault="007B4EB8">
      <w:pPr>
        <w:pStyle w:val="Funotentext"/>
      </w:pPr>
      <w:r>
        <w:rPr>
          <w:rStyle w:val="Funotenzeichen"/>
        </w:rPr>
        <w:footnoteRef/>
      </w:r>
      <w:r>
        <w:t xml:space="preserve"> </w:t>
      </w:r>
      <w:r w:rsidRPr="007B4EB8">
        <w:t xml:space="preserve">Ein unechtes Pensionsgeschäft liegt hingegen dann vor, wenn der Pensionsnehmer entscheiden kann, ob er die Wertpapiere zurücküberträgt oder nicht. Diese Konstellation unterscheidet sich in den nachfolgenden Ausführungen zum Teil deutlich von einem </w:t>
      </w:r>
      <w:bookmarkStart w:id="5" w:name="_Hlk125723938"/>
      <w:r w:rsidRPr="007B4EB8">
        <w:t>echten Pensionsgeschäft oder Repo</w:t>
      </w:r>
      <w:bookmarkEnd w:id="5"/>
      <w:r w:rsidRPr="007B4EB8">
        <w:t xml:space="preserve"> und wird hier nicht behandelt. Alle nachfolgenden Ausführungen beziehen sich ausschließlich auf echte Pensionsgeschäfte bzw. Repos.</w:t>
      </w:r>
    </w:p>
  </w:footnote>
  <w:footnote w:id="3">
    <w:p w14:paraId="3036008E" w14:textId="77777777" w:rsidR="00661E87" w:rsidRDefault="00661E87" w:rsidP="00661E87">
      <w:pPr>
        <w:pStyle w:val="Funotentext"/>
      </w:pPr>
      <w:r>
        <w:rPr>
          <w:rStyle w:val="Funotenzeichen"/>
        </w:rPr>
        <w:footnoteRef/>
      </w:r>
      <w:r>
        <w:t xml:space="preserve"> Da diese Konstellation in der Verbundpraxis den Standardfall darstellt (Ausnahme: negativer Repo-Zinssatz), wird diese Fallkonstellation in den folgenden Abschnitten dargestellt. </w:t>
      </w:r>
    </w:p>
  </w:footnote>
  <w:footnote w:id="4">
    <w:p w14:paraId="22C0130A" w14:textId="77777777" w:rsidR="00661E87" w:rsidRDefault="00661E87" w:rsidP="00661E87">
      <w:pPr>
        <w:pStyle w:val="Funotentext"/>
      </w:pPr>
      <w:r>
        <w:rPr>
          <w:rStyle w:val="Funotenzeichen"/>
        </w:rPr>
        <w:footnoteRef/>
      </w:r>
      <w:r>
        <w:t xml:space="preserve"> Vgl. Handbuch Bankbilanz, 9. Auflage, Abschnitt 3.2.3.1 ff.</w:t>
      </w:r>
    </w:p>
  </w:footnote>
  <w:footnote w:id="5">
    <w:p w14:paraId="65E15AFE" w14:textId="77777777" w:rsidR="004B55F2" w:rsidRDefault="004B55F2" w:rsidP="004B55F2">
      <w:pPr>
        <w:pStyle w:val="Funotentext"/>
      </w:pPr>
      <w:r>
        <w:rPr>
          <w:rStyle w:val="Funotenzeichen"/>
        </w:rPr>
        <w:footnoteRef/>
      </w:r>
      <w:r>
        <w:t xml:space="preserve"> </w:t>
      </w:r>
      <w:r w:rsidRPr="00404FE1">
        <w:t>Für Positionen im Handelsbuch können andere Vorschriften gelten</w:t>
      </w:r>
      <w:r>
        <w:t>.</w:t>
      </w:r>
    </w:p>
  </w:footnote>
  <w:footnote w:id="6">
    <w:p w14:paraId="116CA375" w14:textId="72537D5A" w:rsidR="004B55F2" w:rsidRDefault="004B55F2" w:rsidP="004B55F2">
      <w:pPr>
        <w:pStyle w:val="Funotentext"/>
      </w:pPr>
      <w:r>
        <w:rPr>
          <w:rStyle w:val="Funotenzeichen"/>
        </w:rPr>
        <w:footnoteRef/>
      </w:r>
      <w:r>
        <w:t xml:space="preserve"> </w:t>
      </w:r>
      <w:r w:rsidRPr="00C34797">
        <w:t xml:space="preserve">bzgl. Behandlung im Millionenkredit vgl. </w:t>
      </w:r>
      <w:hyperlink r:id="rId1" w:history="1">
        <w:r w:rsidRPr="00C349A8">
          <w:rPr>
            <w:rStyle w:val="Hyperlink"/>
          </w:rPr>
          <w:t>Durchführungsbestimmung der Bundesbank (Version 2.3 Stand April 2021)</w:t>
        </w:r>
      </w:hyperlink>
    </w:p>
  </w:footnote>
  <w:footnote w:id="7">
    <w:p w14:paraId="5F52ED42" w14:textId="77777777" w:rsidR="004B55F2" w:rsidRPr="00545F94" w:rsidDel="00D8472C" w:rsidRDefault="004B55F2" w:rsidP="004B55F2">
      <w:pPr>
        <w:pStyle w:val="Funotentext"/>
      </w:pPr>
      <w:r w:rsidDel="00D8472C">
        <w:rPr>
          <w:rStyle w:val="Funotenzeichen"/>
        </w:rPr>
        <w:footnoteRef/>
      </w:r>
      <w:r w:rsidDel="00D8472C">
        <w:t xml:space="preserve"> </w:t>
      </w:r>
      <w:r w:rsidRPr="00545F94" w:rsidDel="00D8472C">
        <w:t xml:space="preserve">DELEGIERTE VERORDNUNG (EU) </w:t>
      </w:r>
      <w:r w:rsidRPr="00487658">
        <w:t xml:space="preserve">2018/1620 </w:t>
      </w:r>
      <w:r w:rsidRPr="00545F94" w:rsidDel="00D8472C">
        <w:t xml:space="preserve">DER KOMMISSION vom </w:t>
      </w:r>
      <w:r w:rsidRPr="00487658">
        <w:t xml:space="preserve">13. Juli 2018 zur Änderung der Delegierten Verordnung (EU) 2015/61 der Kommission zur Ergänzung der Verordnung (EU) Nr. </w:t>
      </w:r>
      <w:r w:rsidRPr="00545F94" w:rsidDel="00D8472C">
        <w:t>575/2013 des Europäischen Parlaments und des Rates in Bezug auf die Liquiditätsdeckungsanforderung an Kreditinstitute</w:t>
      </w:r>
    </w:p>
  </w:footnote>
  <w:footnote w:id="8">
    <w:p w14:paraId="0B64EEB9" w14:textId="77777777" w:rsidR="004B55F2" w:rsidRDefault="004B55F2" w:rsidP="004B55F2">
      <w:pPr>
        <w:pStyle w:val="Funotentext"/>
      </w:pPr>
      <w:r w:rsidRPr="00545F94">
        <w:rPr>
          <w:rStyle w:val="Funotenzeichen"/>
        </w:rPr>
        <w:footnoteRef/>
      </w:r>
      <w:r w:rsidRPr="00545F94">
        <w:t xml:space="preserve"> Aktuell abrufbar im BVR-Extranet unter: Produktion -&gt; Meldewesen -&gt; Europäisches Meldewesen -&gt; LCR</w:t>
      </w:r>
      <w:r>
        <w:t xml:space="preserve"> - kurzfristige Liquiditätsdeckungsquote</w:t>
      </w:r>
      <w:r w:rsidRPr="00545F94">
        <w:t xml:space="preserve"> -&gt; Unwinding in der LCR.</w:t>
      </w:r>
    </w:p>
  </w:footnote>
  <w:footnote w:id="9">
    <w:p w14:paraId="4D53A65D" w14:textId="171BE8F7" w:rsidR="004B55F2" w:rsidRDefault="004B55F2" w:rsidP="004B55F2">
      <w:pPr>
        <w:pStyle w:val="Funotentext"/>
      </w:pPr>
      <w:r>
        <w:rPr>
          <w:rStyle w:val="Funotenzeichen"/>
          <w:rFonts w:eastAsiaTheme="majorEastAsia"/>
        </w:rPr>
        <w:footnoteRef/>
      </w:r>
      <w:r>
        <w:t xml:space="preserve"> </w:t>
      </w:r>
      <w:bookmarkStart w:id="69" w:name="_Hlk127341094"/>
      <w:r>
        <w:t>Die</w:t>
      </w:r>
      <w:r w:rsidR="00913CD9">
        <w:t>s</w:t>
      </w:r>
      <w:r>
        <w:t xml:space="preserve"> dürfte jedoch eher der Ausnahmefall bleiben.</w:t>
      </w:r>
      <w:bookmarkEnd w:id="69"/>
    </w:p>
  </w:footnote>
  <w:footnote w:id="10">
    <w:p w14:paraId="41F68F85" w14:textId="77777777" w:rsidR="004B55F2" w:rsidRDefault="004B55F2" w:rsidP="004B55F2">
      <w:pPr>
        <w:pStyle w:val="Funotentext"/>
      </w:pPr>
      <w:r>
        <w:rPr>
          <w:rStyle w:val="Funotenzeichen"/>
        </w:rPr>
        <w:footnoteRef/>
      </w:r>
      <w:r>
        <w:t xml:space="preserve"> </w:t>
      </w:r>
      <w:r w:rsidRPr="00721072">
        <w:t>DURCHFÜHRUNGSVERORDNUNG (EU) 2017/2114 DER KOMMISSION vom 9. November 2017 zur Änderung der Durchführungsverordnung (EU) Nr. 680/2014 in Bezug auf Meldebögen und Erläuterungen</w:t>
      </w:r>
    </w:p>
  </w:footnote>
  <w:footnote w:id="11">
    <w:p w14:paraId="2AECADD2" w14:textId="77777777" w:rsidR="004B55F2" w:rsidRDefault="004B55F2" w:rsidP="004B55F2">
      <w:pPr>
        <w:pStyle w:val="Funotentext"/>
      </w:pPr>
      <w:r>
        <w:rPr>
          <w:rStyle w:val="Funotenzeichen"/>
        </w:rPr>
        <w:footnoteRef/>
      </w:r>
      <w:r>
        <w:t xml:space="preserve"> gemäß Artikel 4 Nr. 145 CRR</w:t>
      </w:r>
    </w:p>
  </w:footnote>
  <w:footnote w:id="12">
    <w:p w14:paraId="54D51639" w14:textId="77777777" w:rsidR="004B55F2" w:rsidRDefault="004B55F2" w:rsidP="004B55F2">
      <w:pPr>
        <w:pStyle w:val="Funotentext"/>
      </w:pPr>
      <w:r>
        <w:rPr>
          <w:rStyle w:val="Funotenzeichen"/>
        </w:rPr>
        <w:footnoteRef/>
      </w:r>
      <w:r>
        <w:t xml:space="preserve"> Zu den mittelgroßen Instituten zählen die Institute, die nicht als „klein und nicht komplex“ gelten, aber eine Bilanzsumme von unter 30 Mrd. Euro aufweisen.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4308" w14:textId="3F5CFD22" w:rsidR="00125A25" w:rsidRDefault="00103181">
    <w:pPr>
      <w:pStyle w:val="Kopfzeile"/>
    </w:pPr>
    <w:r>
      <w:rPr>
        <w:noProof/>
      </w:rPr>
      <w:pict w14:anchorId="5E355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5876" o:spid="_x0000_s1029" type="#_x0000_t136" style="position:absolute;margin-left:0;margin-top:0;width:564.3pt;height:75.2pt;rotation:315;z-index:-251658239;mso-position-horizontal:center;mso-position-horizontal-relative:margin;mso-position-vertical:center;mso-position-vertical-relative:margin" o:allowincell="f" fillcolor="#d5d5d5" stroked="f">
          <v:fill opacity=".5"/>
          <v:textpath style="font-family:&quot;Frutiger 45 Light&quot;;font-size:1pt" string="ENTWURFS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57BB" w14:textId="77777777" w:rsidR="00FE3B85" w:rsidRDefault="00FE3B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E052" w14:textId="7FE82BC2" w:rsidR="00125A25" w:rsidRDefault="00103181">
    <w:pPr>
      <w:pStyle w:val="Kopfzeile"/>
    </w:pPr>
    <w:r>
      <w:rPr>
        <w:noProof/>
      </w:rPr>
      <w:pict w14:anchorId="5AE43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5875" o:spid="_x0000_s1028" type="#_x0000_t136" style="position:absolute;margin-left:0;margin-top:0;width:564.3pt;height:75.2pt;rotation:315;z-index:-251658240;mso-position-horizontal:center;mso-position-horizontal-relative:margin;mso-position-vertical:center;mso-position-vertical-relative:margin" o:allowincell="f" fillcolor="#d5d5d5" stroked="f">
          <v:fill opacity=".5"/>
          <v:textpath style="font-family:&quot;Frutiger 45 Light&quot;;font-size:1pt" string="ENTWURFS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0AF59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C4423A"/>
    <w:multiLevelType w:val="multilevel"/>
    <w:tmpl w:val="2194A220"/>
    <w:lvl w:ilvl="0">
      <w:start w:val="1"/>
      <w:numFmt w:val="decimal"/>
      <w:pStyle w:val="berschrift1"/>
      <w:lvlText w:val="%1"/>
      <w:lvlJc w:val="left"/>
      <w:pPr>
        <w:ind w:left="432" w:hanging="432"/>
      </w:pPr>
      <w:rPr>
        <w:rFonts w:hint="default"/>
        <w:b/>
        <w:i w:val="0"/>
        <w:color w:val="auto"/>
        <w:sz w:val="22"/>
      </w:rPr>
    </w:lvl>
    <w:lvl w:ilvl="1">
      <w:start w:val="1"/>
      <w:numFmt w:val="decimal"/>
      <w:pStyle w:val="berschrift2"/>
      <w:lvlText w:val="%1.%2"/>
      <w:lvlJc w:val="left"/>
      <w:pPr>
        <w:ind w:left="576" w:hanging="576"/>
      </w:pPr>
      <w:rPr>
        <w:rFonts w:hint="default"/>
        <w:b/>
        <w:i w:val="0"/>
        <w:color w:val="auto"/>
        <w:sz w:val="22"/>
      </w:rPr>
    </w:lvl>
    <w:lvl w:ilvl="2">
      <w:start w:val="1"/>
      <w:numFmt w:val="decimal"/>
      <w:pStyle w:val="berschrift3"/>
      <w:lvlText w:val="%1.%2.%3"/>
      <w:lvlJc w:val="left"/>
      <w:pPr>
        <w:ind w:left="720" w:hanging="720"/>
      </w:pPr>
      <w:rPr>
        <w:rFonts w:hint="default"/>
        <w:b w:val="0"/>
        <w:i w:val="0"/>
        <w:color w:val="auto"/>
        <w:sz w:val="22"/>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152E446F"/>
    <w:multiLevelType w:val="hybridMultilevel"/>
    <w:tmpl w:val="1E701644"/>
    <w:lvl w:ilvl="0" w:tplc="0846B542">
      <w:start w:val="1"/>
      <w:numFmt w:val="decimal"/>
      <w:pStyle w:val="NummerierteListe"/>
      <w:lvlText w:val="%1."/>
      <w:lvlJc w:val="left"/>
      <w:pPr>
        <w:ind w:left="360" w:hanging="360"/>
      </w:pPr>
      <w:rPr>
        <w:rFonts w:ascii="Frutiger 45 Light" w:hAnsi="Frutiger 45 Light" w:hint="default"/>
        <w:b w:val="0"/>
        <w:i w:val="0"/>
        <w:color w:val="auto"/>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6A748C4"/>
    <w:multiLevelType w:val="hybridMultilevel"/>
    <w:tmpl w:val="90187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CA7A60"/>
    <w:multiLevelType w:val="hybridMultilevel"/>
    <w:tmpl w:val="29E46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91C35"/>
    <w:multiLevelType w:val="hybridMultilevel"/>
    <w:tmpl w:val="4364AB60"/>
    <w:lvl w:ilvl="0" w:tplc="877E5E84">
      <w:numFmt w:val="bullet"/>
      <w:lvlText w:val="-"/>
      <w:lvlJc w:val="left"/>
      <w:pPr>
        <w:ind w:left="1773" w:hanging="360"/>
      </w:pPr>
      <w:rPr>
        <w:rFonts w:ascii="Frutiger 45 Light" w:eastAsia="Times New Roman" w:hAnsi="Frutiger 45 Light" w:cs="Times New Roman" w:hint="default"/>
      </w:rPr>
    </w:lvl>
    <w:lvl w:ilvl="1" w:tplc="08090003" w:tentative="1">
      <w:start w:val="1"/>
      <w:numFmt w:val="bullet"/>
      <w:lvlText w:val="o"/>
      <w:lvlJc w:val="left"/>
      <w:pPr>
        <w:ind w:left="2493" w:hanging="360"/>
      </w:pPr>
      <w:rPr>
        <w:rFonts w:ascii="Courier New" w:hAnsi="Courier New" w:cs="Courier New" w:hint="default"/>
      </w:rPr>
    </w:lvl>
    <w:lvl w:ilvl="2" w:tplc="08090005" w:tentative="1">
      <w:start w:val="1"/>
      <w:numFmt w:val="bullet"/>
      <w:lvlText w:val=""/>
      <w:lvlJc w:val="left"/>
      <w:pPr>
        <w:ind w:left="3213" w:hanging="360"/>
      </w:pPr>
      <w:rPr>
        <w:rFonts w:ascii="Wingdings" w:hAnsi="Wingdings" w:hint="default"/>
      </w:rPr>
    </w:lvl>
    <w:lvl w:ilvl="3" w:tplc="08090001" w:tentative="1">
      <w:start w:val="1"/>
      <w:numFmt w:val="bullet"/>
      <w:lvlText w:val=""/>
      <w:lvlJc w:val="left"/>
      <w:pPr>
        <w:ind w:left="3933" w:hanging="360"/>
      </w:pPr>
      <w:rPr>
        <w:rFonts w:ascii="Symbol" w:hAnsi="Symbol" w:hint="default"/>
      </w:rPr>
    </w:lvl>
    <w:lvl w:ilvl="4" w:tplc="08090003" w:tentative="1">
      <w:start w:val="1"/>
      <w:numFmt w:val="bullet"/>
      <w:lvlText w:val="o"/>
      <w:lvlJc w:val="left"/>
      <w:pPr>
        <w:ind w:left="4653" w:hanging="360"/>
      </w:pPr>
      <w:rPr>
        <w:rFonts w:ascii="Courier New" w:hAnsi="Courier New" w:cs="Courier New" w:hint="default"/>
      </w:rPr>
    </w:lvl>
    <w:lvl w:ilvl="5" w:tplc="08090005" w:tentative="1">
      <w:start w:val="1"/>
      <w:numFmt w:val="bullet"/>
      <w:lvlText w:val=""/>
      <w:lvlJc w:val="left"/>
      <w:pPr>
        <w:ind w:left="5373" w:hanging="360"/>
      </w:pPr>
      <w:rPr>
        <w:rFonts w:ascii="Wingdings" w:hAnsi="Wingdings" w:hint="default"/>
      </w:rPr>
    </w:lvl>
    <w:lvl w:ilvl="6" w:tplc="08090001" w:tentative="1">
      <w:start w:val="1"/>
      <w:numFmt w:val="bullet"/>
      <w:lvlText w:val=""/>
      <w:lvlJc w:val="left"/>
      <w:pPr>
        <w:ind w:left="6093" w:hanging="360"/>
      </w:pPr>
      <w:rPr>
        <w:rFonts w:ascii="Symbol" w:hAnsi="Symbol" w:hint="default"/>
      </w:rPr>
    </w:lvl>
    <w:lvl w:ilvl="7" w:tplc="08090003" w:tentative="1">
      <w:start w:val="1"/>
      <w:numFmt w:val="bullet"/>
      <w:lvlText w:val="o"/>
      <w:lvlJc w:val="left"/>
      <w:pPr>
        <w:ind w:left="6813" w:hanging="360"/>
      </w:pPr>
      <w:rPr>
        <w:rFonts w:ascii="Courier New" w:hAnsi="Courier New" w:cs="Courier New" w:hint="default"/>
      </w:rPr>
    </w:lvl>
    <w:lvl w:ilvl="8" w:tplc="08090005" w:tentative="1">
      <w:start w:val="1"/>
      <w:numFmt w:val="bullet"/>
      <w:lvlText w:val=""/>
      <w:lvlJc w:val="left"/>
      <w:pPr>
        <w:ind w:left="7533" w:hanging="360"/>
      </w:pPr>
      <w:rPr>
        <w:rFonts w:ascii="Wingdings" w:hAnsi="Wingdings" w:hint="default"/>
      </w:rPr>
    </w:lvl>
  </w:abstractNum>
  <w:abstractNum w:abstractNumId="6" w15:restartNumberingAfterBreak="0">
    <w:nsid w:val="3136157E"/>
    <w:multiLevelType w:val="hybridMultilevel"/>
    <w:tmpl w:val="926CE452"/>
    <w:lvl w:ilvl="0" w:tplc="9EC8C4A4">
      <w:start w:val="1"/>
      <w:numFmt w:val="bullet"/>
      <w:lvlText w:val=""/>
      <w:lvlJc w:val="left"/>
      <w:pPr>
        <w:tabs>
          <w:tab w:val="num" w:pos="720"/>
        </w:tabs>
        <w:ind w:left="720" w:hanging="360"/>
      </w:pPr>
      <w:rPr>
        <w:rFonts w:ascii="Wingdings" w:hAnsi="Wingdings" w:hint="default"/>
      </w:rPr>
    </w:lvl>
    <w:lvl w:ilvl="1" w:tplc="724079BA" w:tentative="1">
      <w:start w:val="1"/>
      <w:numFmt w:val="bullet"/>
      <w:lvlText w:val=""/>
      <w:lvlJc w:val="left"/>
      <w:pPr>
        <w:tabs>
          <w:tab w:val="num" w:pos="1440"/>
        </w:tabs>
        <w:ind w:left="1440" w:hanging="360"/>
      </w:pPr>
      <w:rPr>
        <w:rFonts w:ascii="Wingdings" w:hAnsi="Wingdings" w:hint="default"/>
      </w:rPr>
    </w:lvl>
    <w:lvl w:ilvl="2" w:tplc="3DF66E8C" w:tentative="1">
      <w:start w:val="1"/>
      <w:numFmt w:val="bullet"/>
      <w:lvlText w:val=""/>
      <w:lvlJc w:val="left"/>
      <w:pPr>
        <w:tabs>
          <w:tab w:val="num" w:pos="2160"/>
        </w:tabs>
        <w:ind w:left="2160" w:hanging="360"/>
      </w:pPr>
      <w:rPr>
        <w:rFonts w:ascii="Wingdings" w:hAnsi="Wingdings" w:hint="default"/>
      </w:rPr>
    </w:lvl>
    <w:lvl w:ilvl="3" w:tplc="832CAAC8" w:tentative="1">
      <w:start w:val="1"/>
      <w:numFmt w:val="bullet"/>
      <w:lvlText w:val=""/>
      <w:lvlJc w:val="left"/>
      <w:pPr>
        <w:tabs>
          <w:tab w:val="num" w:pos="2880"/>
        </w:tabs>
        <w:ind w:left="2880" w:hanging="360"/>
      </w:pPr>
      <w:rPr>
        <w:rFonts w:ascii="Wingdings" w:hAnsi="Wingdings" w:hint="default"/>
      </w:rPr>
    </w:lvl>
    <w:lvl w:ilvl="4" w:tplc="2A16E810" w:tentative="1">
      <w:start w:val="1"/>
      <w:numFmt w:val="bullet"/>
      <w:lvlText w:val=""/>
      <w:lvlJc w:val="left"/>
      <w:pPr>
        <w:tabs>
          <w:tab w:val="num" w:pos="3600"/>
        </w:tabs>
        <w:ind w:left="3600" w:hanging="360"/>
      </w:pPr>
      <w:rPr>
        <w:rFonts w:ascii="Wingdings" w:hAnsi="Wingdings" w:hint="default"/>
      </w:rPr>
    </w:lvl>
    <w:lvl w:ilvl="5" w:tplc="6FEC0BBA" w:tentative="1">
      <w:start w:val="1"/>
      <w:numFmt w:val="bullet"/>
      <w:lvlText w:val=""/>
      <w:lvlJc w:val="left"/>
      <w:pPr>
        <w:tabs>
          <w:tab w:val="num" w:pos="4320"/>
        </w:tabs>
        <w:ind w:left="4320" w:hanging="360"/>
      </w:pPr>
      <w:rPr>
        <w:rFonts w:ascii="Wingdings" w:hAnsi="Wingdings" w:hint="default"/>
      </w:rPr>
    </w:lvl>
    <w:lvl w:ilvl="6" w:tplc="2F4022B6" w:tentative="1">
      <w:start w:val="1"/>
      <w:numFmt w:val="bullet"/>
      <w:lvlText w:val=""/>
      <w:lvlJc w:val="left"/>
      <w:pPr>
        <w:tabs>
          <w:tab w:val="num" w:pos="5040"/>
        </w:tabs>
        <w:ind w:left="5040" w:hanging="360"/>
      </w:pPr>
      <w:rPr>
        <w:rFonts w:ascii="Wingdings" w:hAnsi="Wingdings" w:hint="default"/>
      </w:rPr>
    </w:lvl>
    <w:lvl w:ilvl="7" w:tplc="1BF4A44E" w:tentative="1">
      <w:start w:val="1"/>
      <w:numFmt w:val="bullet"/>
      <w:lvlText w:val=""/>
      <w:lvlJc w:val="left"/>
      <w:pPr>
        <w:tabs>
          <w:tab w:val="num" w:pos="5760"/>
        </w:tabs>
        <w:ind w:left="5760" w:hanging="360"/>
      </w:pPr>
      <w:rPr>
        <w:rFonts w:ascii="Wingdings" w:hAnsi="Wingdings" w:hint="default"/>
      </w:rPr>
    </w:lvl>
    <w:lvl w:ilvl="8" w:tplc="E7D451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A6F28"/>
    <w:multiLevelType w:val="hybridMultilevel"/>
    <w:tmpl w:val="35845B52"/>
    <w:lvl w:ilvl="0" w:tplc="D0F614A8">
      <w:start w:val="1"/>
      <w:numFmt w:val="bullet"/>
      <w:lvlText w:val=""/>
      <w:lvlJc w:val="left"/>
      <w:pPr>
        <w:tabs>
          <w:tab w:val="num" w:pos="720"/>
        </w:tabs>
        <w:ind w:left="720" w:hanging="360"/>
      </w:pPr>
      <w:rPr>
        <w:rFonts w:ascii="Wingdings" w:hAnsi="Wingdings" w:hint="default"/>
      </w:rPr>
    </w:lvl>
    <w:lvl w:ilvl="1" w:tplc="EFF2C072" w:tentative="1">
      <w:start w:val="1"/>
      <w:numFmt w:val="bullet"/>
      <w:lvlText w:val=""/>
      <w:lvlJc w:val="left"/>
      <w:pPr>
        <w:tabs>
          <w:tab w:val="num" w:pos="1440"/>
        </w:tabs>
        <w:ind w:left="1440" w:hanging="360"/>
      </w:pPr>
      <w:rPr>
        <w:rFonts w:ascii="Wingdings" w:hAnsi="Wingdings" w:hint="default"/>
      </w:rPr>
    </w:lvl>
    <w:lvl w:ilvl="2" w:tplc="610A2168" w:tentative="1">
      <w:start w:val="1"/>
      <w:numFmt w:val="bullet"/>
      <w:lvlText w:val=""/>
      <w:lvlJc w:val="left"/>
      <w:pPr>
        <w:tabs>
          <w:tab w:val="num" w:pos="2160"/>
        </w:tabs>
        <w:ind w:left="2160" w:hanging="360"/>
      </w:pPr>
      <w:rPr>
        <w:rFonts w:ascii="Wingdings" w:hAnsi="Wingdings" w:hint="default"/>
      </w:rPr>
    </w:lvl>
    <w:lvl w:ilvl="3" w:tplc="1CAC3C4C" w:tentative="1">
      <w:start w:val="1"/>
      <w:numFmt w:val="bullet"/>
      <w:lvlText w:val=""/>
      <w:lvlJc w:val="left"/>
      <w:pPr>
        <w:tabs>
          <w:tab w:val="num" w:pos="2880"/>
        </w:tabs>
        <w:ind w:left="2880" w:hanging="360"/>
      </w:pPr>
      <w:rPr>
        <w:rFonts w:ascii="Wingdings" w:hAnsi="Wingdings" w:hint="default"/>
      </w:rPr>
    </w:lvl>
    <w:lvl w:ilvl="4" w:tplc="953E002C" w:tentative="1">
      <w:start w:val="1"/>
      <w:numFmt w:val="bullet"/>
      <w:lvlText w:val=""/>
      <w:lvlJc w:val="left"/>
      <w:pPr>
        <w:tabs>
          <w:tab w:val="num" w:pos="3600"/>
        </w:tabs>
        <w:ind w:left="3600" w:hanging="360"/>
      </w:pPr>
      <w:rPr>
        <w:rFonts w:ascii="Wingdings" w:hAnsi="Wingdings" w:hint="default"/>
      </w:rPr>
    </w:lvl>
    <w:lvl w:ilvl="5" w:tplc="D06A2A44" w:tentative="1">
      <w:start w:val="1"/>
      <w:numFmt w:val="bullet"/>
      <w:lvlText w:val=""/>
      <w:lvlJc w:val="left"/>
      <w:pPr>
        <w:tabs>
          <w:tab w:val="num" w:pos="4320"/>
        </w:tabs>
        <w:ind w:left="4320" w:hanging="360"/>
      </w:pPr>
      <w:rPr>
        <w:rFonts w:ascii="Wingdings" w:hAnsi="Wingdings" w:hint="default"/>
      </w:rPr>
    </w:lvl>
    <w:lvl w:ilvl="6" w:tplc="D6CCCA58" w:tentative="1">
      <w:start w:val="1"/>
      <w:numFmt w:val="bullet"/>
      <w:lvlText w:val=""/>
      <w:lvlJc w:val="left"/>
      <w:pPr>
        <w:tabs>
          <w:tab w:val="num" w:pos="5040"/>
        </w:tabs>
        <w:ind w:left="5040" w:hanging="360"/>
      </w:pPr>
      <w:rPr>
        <w:rFonts w:ascii="Wingdings" w:hAnsi="Wingdings" w:hint="default"/>
      </w:rPr>
    </w:lvl>
    <w:lvl w:ilvl="7" w:tplc="332455E4" w:tentative="1">
      <w:start w:val="1"/>
      <w:numFmt w:val="bullet"/>
      <w:lvlText w:val=""/>
      <w:lvlJc w:val="left"/>
      <w:pPr>
        <w:tabs>
          <w:tab w:val="num" w:pos="5760"/>
        </w:tabs>
        <w:ind w:left="5760" w:hanging="360"/>
      </w:pPr>
      <w:rPr>
        <w:rFonts w:ascii="Wingdings" w:hAnsi="Wingdings" w:hint="default"/>
      </w:rPr>
    </w:lvl>
    <w:lvl w:ilvl="8" w:tplc="7662F90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33B6A"/>
    <w:multiLevelType w:val="hybridMultilevel"/>
    <w:tmpl w:val="248A1938"/>
    <w:lvl w:ilvl="0" w:tplc="CB368FF8">
      <w:start w:val="1"/>
      <w:numFmt w:val="bullet"/>
      <w:lvlText w:val=""/>
      <w:lvlJc w:val="left"/>
      <w:pPr>
        <w:tabs>
          <w:tab w:val="num" w:pos="720"/>
        </w:tabs>
        <w:ind w:left="720" w:hanging="360"/>
      </w:pPr>
      <w:rPr>
        <w:rFonts w:ascii="Wingdings" w:hAnsi="Wingdings" w:hint="default"/>
      </w:rPr>
    </w:lvl>
    <w:lvl w:ilvl="1" w:tplc="C430E64E" w:tentative="1">
      <w:start w:val="1"/>
      <w:numFmt w:val="bullet"/>
      <w:lvlText w:val=""/>
      <w:lvlJc w:val="left"/>
      <w:pPr>
        <w:tabs>
          <w:tab w:val="num" w:pos="1440"/>
        </w:tabs>
        <w:ind w:left="1440" w:hanging="360"/>
      </w:pPr>
      <w:rPr>
        <w:rFonts w:ascii="Wingdings" w:hAnsi="Wingdings" w:hint="default"/>
      </w:rPr>
    </w:lvl>
    <w:lvl w:ilvl="2" w:tplc="EFFE8752" w:tentative="1">
      <w:start w:val="1"/>
      <w:numFmt w:val="bullet"/>
      <w:lvlText w:val=""/>
      <w:lvlJc w:val="left"/>
      <w:pPr>
        <w:tabs>
          <w:tab w:val="num" w:pos="2160"/>
        </w:tabs>
        <w:ind w:left="2160" w:hanging="360"/>
      </w:pPr>
      <w:rPr>
        <w:rFonts w:ascii="Wingdings" w:hAnsi="Wingdings" w:hint="default"/>
      </w:rPr>
    </w:lvl>
    <w:lvl w:ilvl="3" w:tplc="D97019EA" w:tentative="1">
      <w:start w:val="1"/>
      <w:numFmt w:val="bullet"/>
      <w:lvlText w:val=""/>
      <w:lvlJc w:val="left"/>
      <w:pPr>
        <w:tabs>
          <w:tab w:val="num" w:pos="2880"/>
        </w:tabs>
        <w:ind w:left="2880" w:hanging="360"/>
      </w:pPr>
      <w:rPr>
        <w:rFonts w:ascii="Wingdings" w:hAnsi="Wingdings" w:hint="default"/>
      </w:rPr>
    </w:lvl>
    <w:lvl w:ilvl="4" w:tplc="7924BA7A" w:tentative="1">
      <w:start w:val="1"/>
      <w:numFmt w:val="bullet"/>
      <w:lvlText w:val=""/>
      <w:lvlJc w:val="left"/>
      <w:pPr>
        <w:tabs>
          <w:tab w:val="num" w:pos="3600"/>
        </w:tabs>
        <w:ind w:left="3600" w:hanging="360"/>
      </w:pPr>
      <w:rPr>
        <w:rFonts w:ascii="Wingdings" w:hAnsi="Wingdings" w:hint="default"/>
      </w:rPr>
    </w:lvl>
    <w:lvl w:ilvl="5" w:tplc="529A70E6" w:tentative="1">
      <w:start w:val="1"/>
      <w:numFmt w:val="bullet"/>
      <w:lvlText w:val=""/>
      <w:lvlJc w:val="left"/>
      <w:pPr>
        <w:tabs>
          <w:tab w:val="num" w:pos="4320"/>
        </w:tabs>
        <w:ind w:left="4320" w:hanging="360"/>
      </w:pPr>
      <w:rPr>
        <w:rFonts w:ascii="Wingdings" w:hAnsi="Wingdings" w:hint="default"/>
      </w:rPr>
    </w:lvl>
    <w:lvl w:ilvl="6" w:tplc="C694ABDE" w:tentative="1">
      <w:start w:val="1"/>
      <w:numFmt w:val="bullet"/>
      <w:lvlText w:val=""/>
      <w:lvlJc w:val="left"/>
      <w:pPr>
        <w:tabs>
          <w:tab w:val="num" w:pos="5040"/>
        </w:tabs>
        <w:ind w:left="5040" w:hanging="360"/>
      </w:pPr>
      <w:rPr>
        <w:rFonts w:ascii="Wingdings" w:hAnsi="Wingdings" w:hint="default"/>
      </w:rPr>
    </w:lvl>
    <w:lvl w:ilvl="7" w:tplc="E43ECF0E" w:tentative="1">
      <w:start w:val="1"/>
      <w:numFmt w:val="bullet"/>
      <w:lvlText w:val=""/>
      <w:lvlJc w:val="left"/>
      <w:pPr>
        <w:tabs>
          <w:tab w:val="num" w:pos="5760"/>
        </w:tabs>
        <w:ind w:left="5760" w:hanging="360"/>
      </w:pPr>
      <w:rPr>
        <w:rFonts w:ascii="Wingdings" w:hAnsi="Wingdings" w:hint="default"/>
      </w:rPr>
    </w:lvl>
    <w:lvl w:ilvl="8" w:tplc="07EE8AC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7F0FA2"/>
    <w:multiLevelType w:val="hybridMultilevel"/>
    <w:tmpl w:val="6E680B28"/>
    <w:lvl w:ilvl="0" w:tplc="200E37C4">
      <w:numFmt w:val="bullet"/>
      <w:lvlText w:val="•"/>
      <w:lvlJc w:val="left"/>
      <w:pPr>
        <w:ind w:left="720" w:hanging="360"/>
      </w:pPr>
      <w:rPr>
        <w:rFonts w:ascii="Frutiger 45 Light" w:eastAsia="Times New Roman" w:hAnsi="Frutiger 45 Light"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E50BD6"/>
    <w:multiLevelType w:val="hybridMultilevel"/>
    <w:tmpl w:val="AB28D098"/>
    <w:lvl w:ilvl="0" w:tplc="CCFA3CD2">
      <w:start w:val="1"/>
      <w:numFmt w:val="bullet"/>
      <w:lvlText w:val=""/>
      <w:lvlJc w:val="left"/>
      <w:pPr>
        <w:tabs>
          <w:tab w:val="num" w:pos="720"/>
        </w:tabs>
        <w:ind w:left="720" w:hanging="360"/>
      </w:pPr>
      <w:rPr>
        <w:rFonts w:ascii="Wingdings" w:hAnsi="Wingdings" w:hint="default"/>
      </w:rPr>
    </w:lvl>
    <w:lvl w:ilvl="1" w:tplc="94EA6B0C" w:tentative="1">
      <w:start w:val="1"/>
      <w:numFmt w:val="bullet"/>
      <w:lvlText w:val=""/>
      <w:lvlJc w:val="left"/>
      <w:pPr>
        <w:tabs>
          <w:tab w:val="num" w:pos="1440"/>
        </w:tabs>
        <w:ind w:left="1440" w:hanging="360"/>
      </w:pPr>
      <w:rPr>
        <w:rFonts w:ascii="Wingdings" w:hAnsi="Wingdings" w:hint="default"/>
      </w:rPr>
    </w:lvl>
    <w:lvl w:ilvl="2" w:tplc="3D901570" w:tentative="1">
      <w:start w:val="1"/>
      <w:numFmt w:val="bullet"/>
      <w:lvlText w:val=""/>
      <w:lvlJc w:val="left"/>
      <w:pPr>
        <w:tabs>
          <w:tab w:val="num" w:pos="2160"/>
        </w:tabs>
        <w:ind w:left="2160" w:hanging="360"/>
      </w:pPr>
      <w:rPr>
        <w:rFonts w:ascii="Wingdings" w:hAnsi="Wingdings" w:hint="default"/>
      </w:rPr>
    </w:lvl>
    <w:lvl w:ilvl="3" w:tplc="B9C425E4" w:tentative="1">
      <w:start w:val="1"/>
      <w:numFmt w:val="bullet"/>
      <w:lvlText w:val=""/>
      <w:lvlJc w:val="left"/>
      <w:pPr>
        <w:tabs>
          <w:tab w:val="num" w:pos="2880"/>
        </w:tabs>
        <w:ind w:left="2880" w:hanging="360"/>
      </w:pPr>
      <w:rPr>
        <w:rFonts w:ascii="Wingdings" w:hAnsi="Wingdings" w:hint="default"/>
      </w:rPr>
    </w:lvl>
    <w:lvl w:ilvl="4" w:tplc="015A28F4" w:tentative="1">
      <w:start w:val="1"/>
      <w:numFmt w:val="bullet"/>
      <w:lvlText w:val=""/>
      <w:lvlJc w:val="left"/>
      <w:pPr>
        <w:tabs>
          <w:tab w:val="num" w:pos="3600"/>
        </w:tabs>
        <w:ind w:left="3600" w:hanging="360"/>
      </w:pPr>
      <w:rPr>
        <w:rFonts w:ascii="Wingdings" w:hAnsi="Wingdings" w:hint="default"/>
      </w:rPr>
    </w:lvl>
    <w:lvl w:ilvl="5" w:tplc="9BDCF3C8" w:tentative="1">
      <w:start w:val="1"/>
      <w:numFmt w:val="bullet"/>
      <w:lvlText w:val=""/>
      <w:lvlJc w:val="left"/>
      <w:pPr>
        <w:tabs>
          <w:tab w:val="num" w:pos="4320"/>
        </w:tabs>
        <w:ind w:left="4320" w:hanging="360"/>
      </w:pPr>
      <w:rPr>
        <w:rFonts w:ascii="Wingdings" w:hAnsi="Wingdings" w:hint="default"/>
      </w:rPr>
    </w:lvl>
    <w:lvl w:ilvl="6" w:tplc="D0C6CA16" w:tentative="1">
      <w:start w:val="1"/>
      <w:numFmt w:val="bullet"/>
      <w:lvlText w:val=""/>
      <w:lvlJc w:val="left"/>
      <w:pPr>
        <w:tabs>
          <w:tab w:val="num" w:pos="5040"/>
        </w:tabs>
        <w:ind w:left="5040" w:hanging="360"/>
      </w:pPr>
      <w:rPr>
        <w:rFonts w:ascii="Wingdings" w:hAnsi="Wingdings" w:hint="default"/>
      </w:rPr>
    </w:lvl>
    <w:lvl w:ilvl="7" w:tplc="638EC56A" w:tentative="1">
      <w:start w:val="1"/>
      <w:numFmt w:val="bullet"/>
      <w:lvlText w:val=""/>
      <w:lvlJc w:val="left"/>
      <w:pPr>
        <w:tabs>
          <w:tab w:val="num" w:pos="5760"/>
        </w:tabs>
        <w:ind w:left="5760" w:hanging="360"/>
      </w:pPr>
      <w:rPr>
        <w:rFonts w:ascii="Wingdings" w:hAnsi="Wingdings" w:hint="default"/>
      </w:rPr>
    </w:lvl>
    <w:lvl w:ilvl="8" w:tplc="E79CE2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645E1"/>
    <w:multiLevelType w:val="hybridMultilevel"/>
    <w:tmpl w:val="34EA7C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B4B1A"/>
    <w:multiLevelType w:val="hybridMultilevel"/>
    <w:tmpl w:val="AEFED746"/>
    <w:lvl w:ilvl="0" w:tplc="04070001">
      <w:start w:val="1"/>
      <w:numFmt w:val="bullet"/>
      <w:lvlText w:val=""/>
      <w:lvlJc w:val="left"/>
      <w:pPr>
        <w:ind w:left="720" w:hanging="360"/>
      </w:pPr>
      <w:rPr>
        <w:rFonts w:ascii="Symbol" w:hAnsi="Symbol" w:hint="default"/>
      </w:rPr>
    </w:lvl>
    <w:lvl w:ilvl="1" w:tplc="94E6A316">
      <w:numFmt w:val="bullet"/>
      <w:lvlText w:val="–"/>
      <w:lvlJc w:val="left"/>
      <w:pPr>
        <w:ind w:left="1440" w:hanging="360"/>
      </w:pPr>
      <w:rPr>
        <w:rFonts w:ascii="Frutiger 45 Light" w:eastAsia="Times New Roman" w:hAnsi="Frutiger 45 Light" w:cstheme="minorHAns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395A86"/>
    <w:multiLevelType w:val="hybridMultilevel"/>
    <w:tmpl w:val="09C07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9418C"/>
    <w:multiLevelType w:val="hybridMultilevel"/>
    <w:tmpl w:val="C74C207E"/>
    <w:lvl w:ilvl="0" w:tplc="395614CE">
      <w:start w:val="1"/>
      <w:numFmt w:val="bullet"/>
      <w:pStyle w:val="Markierungspunk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925947"/>
    <w:multiLevelType w:val="hybridMultilevel"/>
    <w:tmpl w:val="5E5C425C"/>
    <w:lvl w:ilvl="0" w:tplc="4BE87B6C">
      <w:start w:val="1"/>
      <w:numFmt w:val="bullet"/>
      <w:lvlText w:val=""/>
      <w:lvlJc w:val="left"/>
      <w:pPr>
        <w:tabs>
          <w:tab w:val="num" w:pos="720"/>
        </w:tabs>
        <w:ind w:left="720" w:hanging="360"/>
      </w:pPr>
      <w:rPr>
        <w:rFonts w:ascii="Wingdings" w:hAnsi="Wingdings" w:hint="default"/>
      </w:rPr>
    </w:lvl>
    <w:lvl w:ilvl="1" w:tplc="57F834F6" w:tentative="1">
      <w:start w:val="1"/>
      <w:numFmt w:val="bullet"/>
      <w:lvlText w:val=""/>
      <w:lvlJc w:val="left"/>
      <w:pPr>
        <w:tabs>
          <w:tab w:val="num" w:pos="1440"/>
        </w:tabs>
        <w:ind w:left="1440" w:hanging="360"/>
      </w:pPr>
      <w:rPr>
        <w:rFonts w:ascii="Wingdings" w:hAnsi="Wingdings" w:hint="default"/>
      </w:rPr>
    </w:lvl>
    <w:lvl w:ilvl="2" w:tplc="1D968600" w:tentative="1">
      <w:start w:val="1"/>
      <w:numFmt w:val="bullet"/>
      <w:lvlText w:val=""/>
      <w:lvlJc w:val="left"/>
      <w:pPr>
        <w:tabs>
          <w:tab w:val="num" w:pos="2160"/>
        </w:tabs>
        <w:ind w:left="2160" w:hanging="360"/>
      </w:pPr>
      <w:rPr>
        <w:rFonts w:ascii="Wingdings" w:hAnsi="Wingdings" w:hint="default"/>
      </w:rPr>
    </w:lvl>
    <w:lvl w:ilvl="3" w:tplc="150A6C0A" w:tentative="1">
      <w:start w:val="1"/>
      <w:numFmt w:val="bullet"/>
      <w:lvlText w:val=""/>
      <w:lvlJc w:val="left"/>
      <w:pPr>
        <w:tabs>
          <w:tab w:val="num" w:pos="2880"/>
        </w:tabs>
        <w:ind w:left="2880" w:hanging="360"/>
      </w:pPr>
      <w:rPr>
        <w:rFonts w:ascii="Wingdings" w:hAnsi="Wingdings" w:hint="default"/>
      </w:rPr>
    </w:lvl>
    <w:lvl w:ilvl="4" w:tplc="47F4C262" w:tentative="1">
      <w:start w:val="1"/>
      <w:numFmt w:val="bullet"/>
      <w:lvlText w:val=""/>
      <w:lvlJc w:val="left"/>
      <w:pPr>
        <w:tabs>
          <w:tab w:val="num" w:pos="3600"/>
        </w:tabs>
        <w:ind w:left="3600" w:hanging="360"/>
      </w:pPr>
      <w:rPr>
        <w:rFonts w:ascii="Wingdings" w:hAnsi="Wingdings" w:hint="default"/>
      </w:rPr>
    </w:lvl>
    <w:lvl w:ilvl="5" w:tplc="9DCAB7D4" w:tentative="1">
      <w:start w:val="1"/>
      <w:numFmt w:val="bullet"/>
      <w:lvlText w:val=""/>
      <w:lvlJc w:val="left"/>
      <w:pPr>
        <w:tabs>
          <w:tab w:val="num" w:pos="4320"/>
        </w:tabs>
        <w:ind w:left="4320" w:hanging="360"/>
      </w:pPr>
      <w:rPr>
        <w:rFonts w:ascii="Wingdings" w:hAnsi="Wingdings" w:hint="default"/>
      </w:rPr>
    </w:lvl>
    <w:lvl w:ilvl="6" w:tplc="CA584C8C" w:tentative="1">
      <w:start w:val="1"/>
      <w:numFmt w:val="bullet"/>
      <w:lvlText w:val=""/>
      <w:lvlJc w:val="left"/>
      <w:pPr>
        <w:tabs>
          <w:tab w:val="num" w:pos="5040"/>
        </w:tabs>
        <w:ind w:left="5040" w:hanging="360"/>
      </w:pPr>
      <w:rPr>
        <w:rFonts w:ascii="Wingdings" w:hAnsi="Wingdings" w:hint="default"/>
      </w:rPr>
    </w:lvl>
    <w:lvl w:ilvl="7" w:tplc="F7508454" w:tentative="1">
      <w:start w:val="1"/>
      <w:numFmt w:val="bullet"/>
      <w:lvlText w:val=""/>
      <w:lvlJc w:val="left"/>
      <w:pPr>
        <w:tabs>
          <w:tab w:val="num" w:pos="5760"/>
        </w:tabs>
        <w:ind w:left="5760" w:hanging="360"/>
      </w:pPr>
      <w:rPr>
        <w:rFonts w:ascii="Wingdings" w:hAnsi="Wingdings" w:hint="default"/>
      </w:rPr>
    </w:lvl>
    <w:lvl w:ilvl="8" w:tplc="1FAECEF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A053CF"/>
    <w:multiLevelType w:val="hybridMultilevel"/>
    <w:tmpl w:val="ED0A6222"/>
    <w:lvl w:ilvl="0" w:tplc="241EDF66">
      <w:start w:val="1"/>
      <w:numFmt w:val="bullet"/>
      <w:lvlText w:val=""/>
      <w:lvlJc w:val="left"/>
      <w:pPr>
        <w:tabs>
          <w:tab w:val="num" w:pos="720"/>
        </w:tabs>
        <w:ind w:left="720" w:hanging="360"/>
      </w:pPr>
      <w:rPr>
        <w:rFonts w:ascii="Wingdings" w:hAnsi="Wingdings" w:hint="default"/>
      </w:rPr>
    </w:lvl>
    <w:lvl w:ilvl="1" w:tplc="DCE26180" w:tentative="1">
      <w:start w:val="1"/>
      <w:numFmt w:val="bullet"/>
      <w:lvlText w:val=""/>
      <w:lvlJc w:val="left"/>
      <w:pPr>
        <w:tabs>
          <w:tab w:val="num" w:pos="1440"/>
        </w:tabs>
        <w:ind w:left="1440" w:hanging="360"/>
      </w:pPr>
      <w:rPr>
        <w:rFonts w:ascii="Wingdings" w:hAnsi="Wingdings" w:hint="default"/>
      </w:rPr>
    </w:lvl>
    <w:lvl w:ilvl="2" w:tplc="D696EB4A" w:tentative="1">
      <w:start w:val="1"/>
      <w:numFmt w:val="bullet"/>
      <w:lvlText w:val=""/>
      <w:lvlJc w:val="left"/>
      <w:pPr>
        <w:tabs>
          <w:tab w:val="num" w:pos="2160"/>
        </w:tabs>
        <w:ind w:left="2160" w:hanging="360"/>
      </w:pPr>
      <w:rPr>
        <w:rFonts w:ascii="Wingdings" w:hAnsi="Wingdings" w:hint="default"/>
      </w:rPr>
    </w:lvl>
    <w:lvl w:ilvl="3" w:tplc="14206EAE" w:tentative="1">
      <w:start w:val="1"/>
      <w:numFmt w:val="bullet"/>
      <w:lvlText w:val=""/>
      <w:lvlJc w:val="left"/>
      <w:pPr>
        <w:tabs>
          <w:tab w:val="num" w:pos="2880"/>
        </w:tabs>
        <w:ind w:left="2880" w:hanging="360"/>
      </w:pPr>
      <w:rPr>
        <w:rFonts w:ascii="Wingdings" w:hAnsi="Wingdings" w:hint="default"/>
      </w:rPr>
    </w:lvl>
    <w:lvl w:ilvl="4" w:tplc="9964344A" w:tentative="1">
      <w:start w:val="1"/>
      <w:numFmt w:val="bullet"/>
      <w:lvlText w:val=""/>
      <w:lvlJc w:val="left"/>
      <w:pPr>
        <w:tabs>
          <w:tab w:val="num" w:pos="3600"/>
        </w:tabs>
        <w:ind w:left="3600" w:hanging="360"/>
      </w:pPr>
      <w:rPr>
        <w:rFonts w:ascii="Wingdings" w:hAnsi="Wingdings" w:hint="default"/>
      </w:rPr>
    </w:lvl>
    <w:lvl w:ilvl="5" w:tplc="5C2C7D06" w:tentative="1">
      <w:start w:val="1"/>
      <w:numFmt w:val="bullet"/>
      <w:lvlText w:val=""/>
      <w:lvlJc w:val="left"/>
      <w:pPr>
        <w:tabs>
          <w:tab w:val="num" w:pos="4320"/>
        </w:tabs>
        <w:ind w:left="4320" w:hanging="360"/>
      </w:pPr>
      <w:rPr>
        <w:rFonts w:ascii="Wingdings" w:hAnsi="Wingdings" w:hint="default"/>
      </w:rPr>
    </w:lvl>
    <w:lvl w:ilvl="6" w:tplc="B9708912" w:tentative="1">
      <w:start w:val="1"/>
      <w:numFmt w:val="bullet"/>
      <w:lvlText w:val=""/>
      <w:lvlJc w:val="left"/>
      <w:pPr>
        <w:tabs>
          <w:tab w:val="num" w:pos="5040"/>
        </w:tabs>
        <w:ind w:left="5040" w:hanging="360"/>
      </w:pPr>
      <w:rPr>
        <w:rFonts w:ascii="Wingdings" w:hAnsi="Wingdings" w:hint="default"/>
      </w:rPr>
    </w:lvl>
    <w:lvl w:ilvl="7" w:tplc="D9B809D6" w:tentative="1">
      <w:start w:val="1"/>
      <w:numFmt w:val="bullet"/>
      <w:lvlText w:val=""/>
      <w:lvlJc w:val="left"/>
      <w:pPr>
        <w:tabs>
          <w:tab w:val="num" w:pos="5760"/>
        </w:tabs>
        <w:ind w:left="5760" w:hanging="360"/>
      </w:pPr>
      <w:rPr>
        <w:rFonts w:ascii="Wingdings" w:hAnsi="Wingdings" w:hint="default"/>
      </w:rPr>
    </w:lvl>
    <w:lvl w:ilvl="8" w:tplc="B2D406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41188"/>
    <w:multiLevelType w:val="hybridMultilevel"/>
    <w:tmpl w:val="79ECD43E"/>
    <w:lvl w:ilvl="0" w:tplc="200E37C4">
      <w:numFmt w:val="bullet"/>
      <w:lvlText w:val="•"/>
      <w:lvlJc w:val="left"/>
      <w:pPr>
        <w:ind w:left="720" w:hanging="360"/>
      </w:pPr>
      <w:rPr>
        <w:rFonts w:ascii="Frutiger 45 Light" w:eastAsia="Times New Roman" w:hAnsi="Frutiger 45 Light"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D500CA"/>
    <w:multiLevelType w:val="hybridMultilevel"/>
    <w:tmpl w:val="EDD47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370CD0"/>
    <w:multiLevelType w:val="hybridMultilevel"/>
    <w:tmpl w:val="9A8094EA"/>
    <w:lvl w:ilvl="0" w:tplc="FFFFFFFF">
      <w:numFmt w:val="bullet"/>
      <w:lvlText w:val="-"/>
      <w:lvlJc w:val="left"/>
      <w:pPr>
        <w:tabs>
          <w:tab w:val="num" w:pos="-588"/>
        </w:tabs>
        <w:ind w:left="-588" w:hanging="360"/>
      </w:pPr>
      <w:rPr>
        <w:rFonts w:ascii="Times New Roman" w:eastAsia="Times New Roman" w:hAnsi="Times New Roman" w:cs="Times New Roman" w:hint="default"/>
      </w:rPr>
    </w:lvl>
    <w:lvl w:ilvl="1" w:tplc="FFFFFFFF" w:tentative="1">
      <w:start w:val="1"/>
      <w:numFmt w:val="bullet"/>
      <w:lvlText w:val="o"/>
      <w:lvlJc w:val="left"/>
      <w:pPr>
        <w:tabs>
          <w:tab w:val="num" w:pos="132"/>
        </w:tabs>
        <w:ind w:left="132" w:hanging="360"/>
      </w:pPr>
      <w:rPr>
        <w:rFonts w:ascii="Courier New" w:hAnsi="Courier New" w:hint="default"/>
      </w:rPr>
    </w:lvl>
    <w:lvl w:ilvl="2" w:tplc="FFFFFFFF" w:tentative="1">
      <w:start w:val="1"/>
      <w:numFmt w:val="bullet"/>
      <w:lvlText w:val=""/>
      <w:lvlJc w:val="left"/>
      <w:pPr>
        <w:tabs>
          <w:tab w:val="num" w:pos="852"/>
        </w:tabs>
        <w:ind w:left="852" w:hanging="360"/>
      </w:pPr>
      <w:rPr>
        <w:rFonts w:ascii="Wingdings" w:hAnsi="Wingdings" w:hint="default"/>
      </w:rPr>
    </w:lvl>
    <w:lvl w:ilvl="3" w:tplc="FFFFFFFF" w:tentative="1">
      <w:start w:val="1"/>
      <w:numFmt w:val="bullet"/>
      <w:lvlText w:val=""/>
      <w:lvlJc w:val="left"/>
      <w:pPr>
        <w:tabs>
          <w:tab w:val="num" w:pos="1572"/>
        </w:tabs>
        <w:ind w:left="1572" w:hanging="360"/>
      </w:pPr>
      <w:rPr>
        <w:rFonts w:ascii="Symbol" w:hAnsi="Symbol" w:hint="default"/>
      </w:rPr>
    </w:lvl>
    <w:lvl w:ilvl="4" w:tplc="FFFFFFFF" w:tentative="1">
      <w:start w:val="1"/>
      <w:numFmt w:val="bullet"/>
      <w:lvlText w:val="o"/>
      <w:lvlJc w:val="left"/>
      <w:pPr>
        <w:tabs>
          <w:tab w:val="num" w:pos="2292"/>
        </w:tabs>
        <w:ind w:left="2292" w:hanging="360"/>
      </w:pPr>
      <w:rPr>
        <w:rFonts w:ascii="Courier New" w:hAnsi="Courier New" w:hint="default"/>
      </w:rPr>
    </w:lvl>
    <w:lvl w:ilvl="5" w:tplc="FFFFFFFF" w:tentative="1">
      <w:start w:val="1"/>
      <w:numFmt w:val="bullet"/>
      <w:lvlText w:val=""/>
      <w:lvlJc w:val="left"/>
      <w:pPr>
        <w:tabs>
          <w:tab w:val="num" w:pos="3012"/>
        </w:tabs>
        <w:ind w:left="3012" w:hanging="360"/>
      </w:pPr>
      <w:rPr>
        <w:rFonts w:ascii="Wingdings" w:hAnsi="Wingdings" w:hint="default"/>
      </w:rPr>
    </w:lvl>
    <w:lvl w:ilvl="6" w:tplc="FFFFFFFF" w:tentative="1">
      <w:start w:val="1"/>
      <w:numFmt w:val="bullet"/>
      <w:lvlText w:val=""/>
      <w:lvlJc w:val="left"/>
      <w:pPr>
        <w:tabs>
          <w:tab w:val="num" w:pos="3732"/>
        </w:tabs>
        <w:ind w:left="3732" w:hanging="360"/>
      </w:pPr>
      <w:rPr>
        <w:rFonts w:ascii="Symbol" w:hAnsi="Symbol" w:hint="default"/>
      </w:rPr>
    </w:lvl>
    <w:lvl w:ilvl="7" w:tplc="FFFFFFFF" w:tentative="1">
      <w:start w:val="1"/>
      <w:numFmt w:val="bullet"/>
      <w:lvlText w:val="o"/>
      <w:lvlJc w:val="left"/>
      <w:pPr>
        <w:tabs>
          <w:tab w:val="num" w:pos="4452"/>
        </w:tabs>
        <w:ind w:left="4452" w:hanging="360"/>
      </w:pPr>
      <w:rPr>
        <w:rFonts w:ascii="Courier New" w:hAnsi="Courier New" w:hint="default"/>
      </w:rPr>
    </w:lvl>
    <w:lvl w:ilvl="8" w:tplc="FFFFFFFF" w:tentative="1">
      <w:start w:val="1"/>
      <w:numFmt w:val="bullet"/>
      <w:lvlText w:val=""/>
      <w:lvlJc w:val="left"/>
      <w:pPr>
        <w:tabs>
          <w:tab w:val="num" w:pos="5172"/>
        </w:tabs>
        <w:ind w:left="5172" w:hanging="360"/>
      </w:pPr>
      <w:rPr>
        <w:rFonts w:ascii="Wingdings" w:hAnsi="Wingdings" w:hint="default"/>
      </w:rPr>
    </w:lvl>
  </w:abstractNum>
  <w:abstractNum w:abstractNumId="20" w15:restartNumberingAfterBreak="0">
    <w:nsid w:val="7A59767F"/>
    <w:multiLevelType w:val="hybridMultilevel"/>
    <w:tmpl w:val="60C018B2"/>
    <w:lvl w:ilvl="0" w:tplc="1F6CE900">
      <w:start w:val="1"/>
      <w:numFmt w:val="bullet"/>
      <w:pStyle w:val="Spiegelstrich"/>
      <w:lvlText w:val="–"/>
      <w:lvlJc w:val="left"/>
      <w:pPr>
        <w:tabs>
          <w:tab w:val="num" w:pos="357"/>
        </w:tabs>
        <w:ind w:left="357" w:hanging="357"/>
      </w:pPr>
      <w:rPr>
        <w:rFonts w:ascii="Arial" w:hAnsi="Arial" w:hint="default"/>
      </w:rPr>
    </w:lvl>
    <w:lvl w:ilvl="1" w:tplc="04070003">
      <w:start w:val="1"/>
      <w:numFmt w:val="bullet"/>
      <w:lvlText w:val="o"/>
      <w:lvlJc w:val="left"/>
      <w:pPr>
        <w:tabs>
          <w:tab w:val="num" w:pos="1684"/>
        </w:tabs>
        <w:ind w:left="1684" w:hanging="360"/>
      </w:pPr>
      <w:rPr>
        <w:rFonts w:ascii="Courier New" w:hAnsi="Courier New" w:cs="Courier New" w:hint="default"/>
      </w:rPr>
    </w:lvl>
    <w:lvl w:ilvl="2" w:tplc="04070005">
      <w:start w:val="1"/>
      <w:numFmt w:val="bullet"/>
      <w:lvlText w:val=""/>
      <w:lvlJc w:val="left"/>
      <w:pPr>
        <w:tabs>
          <w:tab w:val="num" w:pos="2404"/>
        </w:tabs>
        <w:ind w:left="2404" w:hanging="360"/>
      </w:pPr>
      <w:rPr>
        <w:rFonts w:ascii="Wingdings" w:hAnsi="Wingdings" w:hint="default"/>
      </w:rPr>
    </w:lvl>
    <w:lvl w:ilvl="3" w:tplc="04070001">
      <w:start w:val="1"/>
      <w:numFmt w:val="bullet"/>
      <w:lvlText w:val=""/>
      <w:lvlJc w:val="left"/>
      <w:pPr>
        <w:tabs>
          <w:tab w:val="num" w:pos="3124"/>
        </w:tabs>
        <w:ind w:left="3124" w:hanging="360"/>
      </w:pPr>
      <w:rPr>
        <w:rFonts w:ascii="Symbol" w:hAnsi="Symbol" w:hint="default"/>
      </w:rPr>
    </w:lvl>
    <w:lvl w:ilvl="4" w:tplc="04070003">
      <w:start w:val="1"/>
      <w:numFmt w:val="bullet"/>
      <w:lvlText w:val="o"/>
      <w:lvlJc w:val="left"/>
      <w:pPr>
        <w:tabs>
          <w:tab w:val="num" w:pos="3844"/>
        </w:tabs>
        <w:ind w:left="3844" w:hanging="360"/>
      </w:pPr>
      <w:rPr>
        <w:rFonts w:ascii="Courier New" w:hAnsi="Courier New" w:cs="Courier New" w:hint="default"/>
      </w:rPr>
    </w:lvl>
    <w:lvl w:ilvl="5" w:tplc="04070005" w:tentative="1">
      <w:start w:val="1"/>
      <w:numFmt w:val="bullet"/>
      <w:lvlText w:val=""/>
      <w:lvlJc w:val="left"/>
      <w:pPr>
        <w:tabs>
          <w:tab w:val="num" w:pos="4564"/>
        </w:tabs>
        <w:ind w:left="4564" w:hanging="360"/>
      </w:pPr>
      <w:rPr>
        <w:rFonts w:ascii="Wingdings" w:hAnsi="Wingdings" w:hint="default"/>
      </w:rPr>
    </w:lvl>
    <w:lvl w:ilvl="6" w:tplc="04070001" w:tentative="1">
      <w:start w:val="1"/>
      <w:numFmt w:val="bullet"/>
      <w:lvlText w:val=""/>
      <w:lvlJc w:val="left"/>
      <w:pPr>
        <w:tabs>
          <w:tab w:val="num" w:pos="5284"/>
        </w:tabs>
        <w:ind w:left="5284" w:hanging="360"/>
      </w:pPr>
      <w:rPr>
        <w:rFonts w:ascii="Symbol" w:hAnsi="Symbol" w:hint="default"/>
      </w:rPr>
    </w:lvl>
    <w:lvl w:ilvl="7" w:tplc="04070003" w:tentative="1">
      <w:start w:val="1"/>
      <w:numFmt w:val="bullet"/>
      <w:lvlText w:val="o"/>
      <w:lvlJc w:val="left"/>
      <w:pPr>
        <w:tabs>
          <w:tab w:val="num" w:pos="6004"/>
        </w:tabs>
        <w:ind w:left="6004" w:hanging="360"/>
      </w:pPr>
      <w:rPr>
        <w:rFonts w:ascii="Courier New" w:hAnsi="Courier New" w:cs="Courier New" w:hint="default"/>
      </w:rPr>
    </w:lvl>
    <w:lvl w:ilvl="8" w:tplc="04070005" w:tentative="1">
      <w:start w:val="1"/>
      <w:numFmt w:val="bullet"/>
      <w:lvlText w:val=""/>
      <w:lvlJc w:val="left"/>
      <w:pPr>
        <w:tabs>
          <w:tab w:val="num" w:pos="6724"/>
        </w:tabs>
        <w:ind w:left="6724" w:hanging="360"/>
      </w:pPr>
      <w:rPr>
        <w:rFonts w:ascii="Wingdings" w:hAnsi="Wingdings" w:hint="default"/>
      </w:rPr>
    </w:lvl>
  </w:abstractNum>
  <w:abstractNum w:abstractNumId="21" w15:restartNumberingAfterBreak="0">
    <w:nsid w:val="7F814140"/>
    <w:multiLevelType w:val="hybridMultilevel"/>
    <w:tmpl w:val="22B02140"/>
    <w:lvl w:ilvl="0" w:tplc="EE5842BC">
      <w:start w:val="1"/>
      <w:numFmt w:val="bullet"/>
      <w:lvlText w:val=""/>
      <w:lvlJc w:val="left"/>
      <w:pPr>
        <w:ind w:left="357" w:hanging="357"/>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895047336">
    <w:abstractNumId w:val="14"/>
  </w:num>
  <w:num w:numId="2" w16cid:durableId="2034378412">
    <w:abstractNumId w:val="20"/>
  </w:num>
  <w:num w:numId="3" w16cid:durableId="94519180">
    <w:abstractNumId w:val="1"/>
  </w:num>
  <w:num w:numId="4" w16cid:durableId="1254586931">
    <w:abstractNumId w:val="1"/>
  </w:num>
  <w:num w:numId="5" w16cid:durableId="1574312203">
    <w:abstractNumId w:val="1"/>
  </w:num>
  <w:num w:numId="6" w16cid:durableId="1713731577">
    <w:abstractNumId w:val="2"/>
  </w:num>
  <w:num w:numId="7" w16cid:durableId="655496571">
    <w:abstractNumId w:val="7"/>
  </w:num>
  <w:num w:numId="8" w16cid:durableId="1549952086">
    <w:abstractNumId w:val="16"/>
  </w:num>
  <w:num w:numId="9" w16cid:durableId="970403385">
    <w:abstractNumId w:val="15"/>
  </w:num>
  <w:num w:numId="10" w16cid:durableId="791752286">
    <w:abstractNumId w:val="6"/>
  </w:num>
  <w:num w:numId="11" w16cid:durableId="392117738">
    <w:abstractNumId w:val="10"/>
  </w:num>
  <w:num w:numId="12" w16cid:durableId="1708024884">
    <w:abstractNumId w:val="8"/>
  </w:num>
  <w:num w:numId="13" w16cid:durableId="1456289840">
    <w:abstractNumId w:val="4"/>
  </w:num>
  <w:num w:numId="14" w16cid:durableId="2051608291">
    <w:abstractNumId w:val="11"/>
  </w:num>
  <w:num w:numId="15" w16cid:durableId="1092774049">
    <w:abstractNumId w:val="13"/>
  </w:num>
  <w:num w:numId="16" w16cid:durableId="940647954">
    <w:abstractNumId w:val="5"/>
  </w:num>
  <w:num w:numId="17" w16cid:durableId="918445175">
    <w:abstractNumId w:val="18"/>
  </w:num>
  <w:num w:numId="18" w16cid:durableId="498548397">
    <w:abstractNumId w:val="12"/>
  </w:num>
  <w:num w:numId="19" w16cid:durableId="791939954">
    <w:abstractNumId w:val="0"/>
  </w:num>
  <w:num w:numId="20" w16cid:durableId="425805689">
    <w:abstractNumId w:val="21"/>
  </w:num>
  <w:num w:numId="21" w16cid:durableId="288710879">
    <w:abstractNumId w:val="3"/>
  </w:num>
  <w:num w:numId="22" w16cid:durableId="660623028">
    <w:abstractNumId w:val="9"/>
  </w:num>
  <w:num w:numId="23" w16cid:durableId="733435478">
    <w:abstractNumId w:val="17"/>
  </w:num>
  <w:num w:numId="24" w16cid:durableId="221449902">
    <w:abstractNumId w:val="1"/>
  </w:num>
  <w:num w:numId="25" w16cid:durableId="1998147358">
    <w:abstractNumId w:val="1"/>
  </w:num>
  <w:num w:numId="26" w16cid:durableId="4364853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35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4B"/>
    <w:rsid w:val="00000EC7"/>
    <w:rsid w:val="000036FB"/>
    <w:rsid w:val="000040E4"/>
    <w:rsid w:val="00013ABF"/>
    <w:rsid w:val="00024744"/>
    <w:rsid w:val="00042590"/>
    <w:rsid w:val="000515F7"/>
    <w:rsid w:val="000678C8"/>
    <w:rsid w:val="0007217F"/>
    <w:rsid w:val="00073C72"/>
    <w:rsid w:val="00087015"/>
    <w:rsid w:val="000954C2"/>
    <w:rsid w:val="000A2B97"/>
    <w:rsid w:val="000A5935"/>
    <w:rsid w:val="000C2767"/>
    <w:rsid w:val="000C2D10"/>
    <w:rsid w:val="000C6568"/>
    <w:rsid w:val="000D54A6"/>
    <w:rsid w:val="000F102E"/>
    <w:rsid w:val="00103181"/>
    <w:rsid w:val="0010354B"/>
    <w:rsid w:val="00105005"/>
    <w:rsid w:val="00125A25"/>
    <w:rsid w:val="001443D9"/>
    <w:rsid w:val="001618F4"/>
    <w:rsid w:val="00173998"/>
    <w:rsid w:val="00176E9D"/>
    <w:rsid w:val="00177540"/>
    <w:rsid w:val="00191E6B"/>
    <w:rsid w:val="001A14F9"/>
    <w:rsid w:val="001A540C"/>
    <w:rsid w:val="001A755F"/>
    <w:rsid w:val="001B3964"/>
    <w:rsid w:val="001B514F"/>
    <w:rsid w:val="001C280F"/>
    <w:rsid w:val="001C2D50"/>
    <w:rsid w:val="001E0994"/>
    <w:rsid w:val="001F4097"/>
    <w:rsid w:val="001F5579"/>
    <w:rsid w:val="001F5A44"/>
    <w:rsid w:val="002024C7"/>
    <w:rsid w:val="00216494"/>
    <w:rsid w:val="002204A0"/>
    <w:rsid w:val="0023508D"/>
    <w:rsid w:val="002358AD"/>
    <w:rsid w:val="00244889"/>
    <w:rsid w:val="00253EC1"/>
    <w:rsid w:val="00267C3A"/>
    <w:rsid w:val="002764D7"/>
    <w:rsid w:val="002939FD"/>
    <w:rsid w:val="002A4352"/>
    <w:rsid w:val="002B1F7D"/>
    <w:rsid w:val="002B6BE1"/>
    <w:rsid w:val="002D0FB9"/>
    <w:rsid w:val="002D3166"/>
    <w:rsid w:val="002D735C"/>
    <w:rsid w:val="00310C7B"/>
    <w:rsid w:val="00313B82"/>
    <w:rsid w:val="003179F8"/>
    <w:rsid w:val="00340187"/>
    <w:rsid w:val="003538F5"/>
    <w:rsid w:val="00353FBB"/>
    <w:rsid w:val="0036797E"/>
    <w:rsid w:val="003710A6"/>
    <w:rsid w:val="0037341A"/>
    <w:rsid w:val="00382634"/>
    <w:rsid w:val="00383B88"/>
    <w:rsid w:val="00386F66"/>
    <w:rsid w:val="00394EC2"/>
    <w:rsid w:val="003B4F49"/>
    <w:rsid w:val="003C39FE"/>
    <w:rsid w:val="003D2A62"/>
    <w:rsid w:val="003E62D3"/>
    <w:rsid w:val="003F2E8F"/>
    <w:rsid w:val="00404FE1"/>
    <w:rsid w:val="00412408"/>
    <w:rsid w:val="004131F3"/>
    <w:rsid w:val="00413AC5"/>
    <w:rsid w:val="004179F9"/>
    <w:rsid w:val="004832FA"/>
    <w:rsid w:val="004A2F2B"/>
    <w:rsid w:val="004B0276"/>
    <w:rsid w:val="004B55F2"/>
    <w:rsid w:val="004C6500"/>
    <w:rsid w:val="004C75ED"/>
    <w:rsid w:val="004D4430"/>
    <w:rsid w:val="004EB41C"/>
    <w:rsid w:val="005045B5"/>
    <w:rsid w:val="00524F87"/>
    <w:rsid w:val="00530932"/>
    <w:rsid w:val="00530BC4"/>
    <w:rsid w:val="00535649"/>
    <w:rsid w:val="00536B0E"/>
    <w:rsid w:val="00545F94"/>
    <w:rsid w:val="00556902"/>
    <w:rsid w:val="00562517"/>
    <w:rsid w:val="00572EAA"/>
    <w:rsid w:val="005758E1"/>
    <w:rsid w:val="00590DF5"/>
    <w:rsid w:val="005B1326"/>
    <w:rsid w:val="005C2FD6"/>
    <w:rsid w:val="005D4201"/>
    <w:rsid w:val="005F5914"/>
    <w:rsid w:val="0061776F"/>
    <w:rsid w:val="00661E87"/>
    <w:rsid w:val="006949C1"/>
    <w:rsid w:val="006960B0"/>
    <w:rsid w:val="006C30B2"/>
    <w:rsid w:val="006E0C4C"/>
    <w:rsid w:val="006E2674"/>
    <w:rsid w:val="006E6E97"/>
    <w:rsid w:val="006F5059"/>
    <w:rsid w:val="0070210B"/>
    <w:rsid w:val="00707726"/>
    <w:rsid w:val="00712CE5"/>
    <w:rsid w:val="00721072"/>
    <w:rsid w:val="007226E1"/>
    <w:rsid w:val="00770A59"/>
    <w:rsid w:val="007931AD"/>
    <w:rsid w:val="007944DD"/>
    <w:rsid w:val="007B4D76"/>
    <w:rsid w:val="007B4EB8"/>
    <w:rsid w:val="007C61FE"/>
    <w:rsid w:val="007F180C"/>
    <w:rsid w:val="0080194E"/>
    <w:rsid w:val="008063CD"/>
    <w:rsid w:val="00807492"/>
    <w:rsid w:val="00812DA9"/>
    <w:rsid w:val="0081439F"/>
    <w:rsid w:val="00824543"/>
    <w:rsid w:val="008329D5"/>
    <w:rsid w:val="008361AB"/>
    <w:rsid w:val="00842CC8"/>
    <w:rsid w:val="00854738"/>
    <w:rsid w:val="00867B63"/>
    <w:rsid w:val="0088149F"/>
    <w:rsid w:val="00895D53"/>
    <w:rsid w:val="0089691E"/>
    <w:rsid w:val="008A0617"/>
    <w:rsid w:val="008B59E1"/>
    <w:rsid w:val="008B7642"/>
    <w:rsid w:val="008E003F"/>
    <w:rsid w:val="00904FD3"/>
    <w:rsid w:val="00913CD9"/>
    <w:rsid w:val="00915BD6"/>
    <w:rsid w:val="0092092D"/>
    <w:rsid w:val="0093750D"/>
    <w:rsid w:val="009461D5"/>
    <w:rsid w:val="0095204D"/>
    <w:rsid w:val="00960A13"/>
    <w:rsid w:val="00963361"/>
    <w:rsid w:val="00967B0D"/>
    <w:rsid w:val="00967FF0"/>
    <w:rsid w:val="009734CB"/>
    <w:rsid w:val="009809CC"/>
    <w:rsid w:val="00983007"/>
    <w:rsid w:val="00986FE0"/>
    <w:rsid w:val="009A1C23"/>
    <w:rsid w:val="009D531E"/>
    <w:rsid w:val="009E299A"/>
    <w:rsid w:val="00A30B7F"/>
    <w:rsid w:val="00A36E84"/>
    <w:rsid w:val="00A44B46"/>
    <w:rsid w:val="00A55A3E"/>
    <w:rsid w:val="00A567D3"/>
    <w:rsid w:val="00A57719"/>
    <w:rsid w:val="00A617A1"/>
    <w:rsid w:val="00A712C0"/>
    <w:rsid w:val="00A83B0F"/>
    <w:rsid w:val="00A94998"/>
    <w:rsid w:val="00AA2A3D"/>
    <w:rsid w:val="00AA4A58"/>
    <w:rsid w:val="00AE3019"/>
    <w:rsid w:val="00B02380"/>
    <w:rsid w:val="00B07EF7"/>
    <w:rsid w:val="00B151B2"/>
    <w:rsid w:val="00B154E0"/>
    <w:rsid w:val="00B37FDC"/>
    <w:rsid w:val="00B42B46"/>
    <w:rsid w:val="00B459F0"/>
    <w:rsid w:val="00B54A6F"/>
    <w:rsid w:val="00B574F0"/>
    <w:rsid w:val="00B6036E"/>
    <w:rsid w:val="00B751D4"/>
    <w:rsid w:val="00B753E9"/>
    <w:rsid w:val="00B82065"/>
    <w:rsid w:val="00B861E5"/>
    <w:rsid w:val="00B96B37"/>
    <w:rsid w:val="00BB4FC1"/>
    <w:rsid w:val="00BD2E4B"/>
    <w:rsid w:val="00BF31E2"/>
    <w:rsid w:val="00BF4699"/>
    <w:rsid w:val="00C000C2"/>
    <w:rsid w:val="00C107B2"/>
    <w:rsid w:val="00C1756A"/>
    <w:rsid w:val="00C25D18"/>
    <w:rsid w:val="00C34797"/>
    <w:rsid w:val="00C349A8"/>
    <w:rsid w:val="00C41E9E"/>
    <w:rsid w:val="00C57D45"/>
    <w:rsid w:val="00C756BA"/>
    <w:rsid w:val="00C8172E"/>
    <w:rsid w:val="00C9009E"/>
    <w:rsid w:val="00CA2A2F"/>
    <w:rsid w:val="00CA4C4A"/>
    <w:rsid w:val="00CB1F89"/>
    <w:rsid w:val="00CB2250"/>
    <w:rsid w:val="00CB5A44"/>
    <w:rsid w:val="00CB7B51"/>
    <w:rsid w:val="00CC2202"/>
    <w:rsid w:val="00CC3A08"/>
    <w:rsid w:val="00CD5432"/>
    <w:rsid w:val="00CE5F90"/>
    <w:rsid w:val="00CF4F60"/>
    <w:rsid w:val="00D0005A"/>
    <w:rsid w:val="00D13E01"/>
    <w:rsid w:val="00D16CDA"/>
    <w:rsid w:val="00D26B3D"/>
    <w:rsid w:val="00D405E5"/>
    <w:rsid w:val="00D40D0A"/>
    <w:rsid w:val="00D46E1E"/>
    <w:rsid w:val="00D50360"/>
    <w:rsid w:val="00D52259"/>
    <w:rsid w:val="00D540F2"/>
    <w:rsid w:val="00D57728"/>
    <w:rsid w:val="00D658FF"/>
    <w:rsid w:val="00D74E55"/>
    <w:rsid w:val="00D825B9"/>
    <w:rsid w:val="00D8472C"/>
    <w:rsid w:val="00D91AB4"/>
    <w:rsid w:val="00DA31F3"/>
    <w:rsid w:val="00DD10F8"/>
    <w:rsid w:val="00DD7207"/>
    <w:rsid w:val="00DF52D5"/>
    <w:rsid w:val="00DF5A16"/>
    <w:rsid w:val="00E246E4"/>
    <w:rsid w:val="00E25096"/>
    <w:rsid w:val="00E452A6"/>
    <w:rsid w:val="00E45DB8"/>
    <w:rsid w:val="00E47EA2"/>
    <w:rsid w:val="00E52B0B"/>
    <w:rsid w:val="00E57F8B"/>
    <w:rsid w:val="00E63B37"/>
    <w:rsid w:val="00E66C65"/>
    <w:rsid w:val="00E963F5"/>
    <w:rsid w:val="00EB1123"/>
    <w:rsid w:val="00EB57F7"/>
    <w:rsid w:val="00EB7AE8"/>
    <w:rsid w:val="00ED351E"/>
    <w:rsid w:val="00EE47CE"/>
    <w:rsid w:val="00EF2252"/>
    <w:rsid w:val="00EF3DC9"/>
    <w:rsid w:val="00F14614"/>
    <w:rsid w:val="00F15581"/>
    <w:rsid w:val="00F160FE"/>
    <w:rsid w:val="00F21DE2"/>
    <w:rsid w:val="00F263DB"/>
    <w:rsid w:val="00F316CD"/>
    <w:rsid w:val="00F45BF4"/>
    <w:rsid w:val="00F46DC4"/>
    <w:rsid w:val="00F718AC"/>
    <w:rsid w:val="00F75A7A"/>
    <w:rsid w:val="00F901A6"/>
    <w:rsid w:val="00F94FEA"/>
    <w:rsid w:val="00FC65FB"/>
    <w:rsid w:val="00FD086D"/>
    <w:rsid w:val="00FD3E79"/>
    <w:rsid w:val="00FD7DDD"/>
    <w:rsid w:val="00FE3B85"/>
    <w:rsid w:val="00FF1253"/>
    <w:rsid w:val="00FF43CC"/>
    <w:rsid w:val="00FF7148"/>
    <w:rsid w:val="00FF7BA1"/>
    <w:rsid w:val="01B0C8CD"/>
    <w:rsid w:val="135FDA61"/>
    <w:rsid w:val="14DEA761"/>
    <w:rsid w:val="2BFEE981"/>
    <w:rsid w:val="2C8435AC"/>
    <w:rsid w:val="2F30B9A0"/>
    <w:rsid w:val="3567609D"/>
    <w:rsid w:val="41ED3B3B"/>
    <w:rsid w:val="5D06B6A9"/>
    <w:rsid w:val="62EBFE09"/>
    <w:rsid w:val="6D942E9A"/>
    <w:rsid w:val="7ABD6A0D"/>
    <w:rsid w:val="7CBBE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CA243"/>
  <w15:chartTrackingRefBased/>
  <w15:docId w15:val="{50C463B7-B00E-4967-8BF8-A1A008EF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45 Light" w:eastAsiaTheme="minorHAnsi" w:hAnsi="Frutiger 45 Light" w:cstheme="minorBidi"/>
        <w:color w:val="000000" w:themeColor="text1"/>
        <w:sz w:val="22"/>
        <w:szCs w:val="22"/>
        <w:lang w:val="de-DE"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60B0"/>
  </w:style>
  <w:style w:type="paragraph" w:styleId="berschrift1">
    <w:name w:val="heading 1"/>
    <w:next w:val="Standard"/>
    <w:link w:val="berschrift1Zchn"/>
    <w:uiPriority w:val="9"/>
    <w:qFormat/>
    <w:rsid w:val="00A55A3E"/>
    <w:pPr>
      <w:keepNext/>
      <w:keepLines/>
      <w:numPr>
        <w:numId w:val="5"/>
      </w:numPr>
      <w:spacing w:before="240" w:after="120"/>
      <w:outlineLvl w:val="0"/>
    </w:pPr>
    <w:rPr>
      <w:rFonts w:eastAsiaTheme="majorEastAsia" w:cstheme="majorBidi"/>
      <w:b/>
      <w:bCs/>
      <w:color w:val="auto"/>
      <w:szCs w:val="28"/>
    </w:rPr>
  </w:style>
  <w:style w:type="paragraph" w:styleId="berschrift2">
    <w:name w:val="heading 2"/>
    <w:next w:val="Standard"/>
    <w:link w:val="berschrift2Zchn"/>
    <w:uiPriority w:val="9"/>
    <w:qFormat/>
    <w:rsid w:val="008329D5"/>
    <w:pPr>
      <w:keepNext/>
      <w:keepLines/>
      <w:numPr>
        <w:ilvl w:val="1"/>
        <w:numId w:val="5"/>
      </w:numPr>
      <w:spacing w:before="160" w:after="120"/>
      <w:outlineLvl w:val="1"/>
    </w:pPr>
    <w:rPr>
      <w:rFonts w:eastAsiaTheme="majorEastAsia" w:cstheme="majorBidi"/>
      <w:b/>
      <w:bCs/>
      <w:color w:val="auto"/>
      <w:szCs w:val="26"/>
    </w:rPr>
  </w:style>
  <w:style w:type="paragraph" w:styleId="berschrift3">
    <w:name w:val="heading 3"/>
    <w:next w:val="Standard"/>
    <w:link w:val="berschrift3Zchn"/>
    <w:uiPriority w:val="9"/>
    <w:qFormat/>
    <w:rsid w:val="00A55A3E"/>
    <w:pPr>
      <w:keepNext/>
      <w:keepLines/>
      <w:numPr>
        <w:ilvl w:val="2"/>
        <w:numId w:val="5"/>
      </w:numPr>
      <w:spacing w:before="160" w:after="120"/>
      <w:outlineLvl w:val="2"/>
    </w:pPr>
    <w:rPr>
      <w:rFonts w:eastAsiaTheme="majorEastAsia" w:cstheme="majorBidi"/>
      <w:bCs/>
      <w:color w:val="auto"/>
    </w:rPr>
  </w:style>
  <w:style w:type="paragraph" w:styleId="berschrift4">
    <w:name w:val="heading 4"/>
    <w:basedOn w:val="Standard"/>
    <w:next w:val="Standard"/>
    <w:link w:val="berschrift4Zchn"/>
    <w:uiPriority w:val="9"/>
    <w:unhideWhenUsed/>
    <w:rsid w:val="00A55A3E"/>
    <w:pPr>
      <w:numPr>
        <w:ilvl w:val="3"/>
        <w:numId w:val="5"/>
      </w:numPr>
      <w:tabs>
        <w:tab w:val="left" w:pos="1072"/>
      </w:tabs>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FC65FB"/>
    <w:pPr>
      <w:keepNext/>
      <w:keepLines/>
      <w:numPr>
        <w:ilvl w:val="4"/>
        <w:numId w:val="5"/>
      </w:numPr>
      <w:spacing w:before="200" w:after="0"/>
      <w:outlineLvl w:val="4"/>
    </w:pPr>
    <w:rPr>
      <w:rFonts w:asciiTheme="majorHAnsi" w:eastAsiaTheme="majorEastAsia" w:hAnsiTheme="majorHAnsi" w:cstheme="majorBidi"/>
      <w:color w:val="774000" w:themeColor="accent1" w:themeShade="7F"/>
    </w:rPr>
  </w:style>
  <w:style w:type="paragraph" w:styleId="berschrift6">
    <w:name w:val="heading 6"/>
    <w:basedOn w:val="Standard"/>
    <w:next w:val="Standard"/>
    <w:link w:val="berschrift6Zchn"/>
    <w:uiPriority w:val="9"/>
    <w:semiHidden/>
    <w:unhideWhenUsed/>
    <w:qFormat/>
    <w:rsid w:val="00FC65FB"/>
    <w:pPr>
      <w:keepNext/>
      <w:keepLines/>
      <w:numPr>
        <w:ilvl w:val="5"/>
        <w:numId w:val="5"/>
      </w:numPr>
      <w:spacing w:before="200" w:after="0"/>
      <w:outlineLvl w:val="5"/>
    </w:pPr>
    <w:rPr>
      <w:rFonts w:asciiTheme="majorHAnsi" w:eastAsiaTheme="majorEastAsia" w:hAnsiTheme="majorHAnsi" w:cstheme="majorBidi"/>
      <w:i/>
      <w:iCs/>
      <w:color w:val="774000" w:themeColor="accent1" w:themeShade="7F"/>
    </w:rPr>
  </w:style>
  <w:style w:type="paragraph" w:styleId="berschrift7">
    <w:name w:val="heading 7"/>
    <w:basedOn w:val="Standard"/>
    <w:next w:val="Standard"/>
    <w:link w:val="berschrift7Zchn"/>
    <w:uiPriority w:val="9"/>
    <w:semiHidden/>
    <w:unhideWhenUsed/>
    <w:qFormat/>
    <w:rsid w:val="00FC65FB"/>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5FB"/>
    <w:pPr>
      <w:keepNext/>
      <w:keepLines/>
      <w:numPr>
        <w:ilvl w:val="7"/>
        <w:numId w:val="5"/>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FC65FB"/>
    <w:pPr>
      <w:keepNext/>
      <w:keepLines/>
      <w:numPr>
        <w:ilvl w:val="8"/>
        <w:numId w:val="5"/>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rsid w:val="00A55A3E"/>
    <w:rPr>
      <w:b/>
      <w:bCs/>
      <w:sz w:val="18"/>
      <w:szCs w:val="18"/>
    </w:rPr>
  </w:style>
  <w:style w:type="paragraph" w:styleId="Fuzeile">
    <w:name w:val="footer"/>
    <w:basedOn w:val="Standard"/>
    <w:link w:val="FuzeileZchn"/>
    <w:uiPriority w:val="99"/>
    <w:unhideWhenUsed/>
    <w:rsid w:val="00A55A3E"/>
    <w:pPr>
      <w:tabs>
        <w:tab w:val="center" w:pos="4536"/>
        <w:tab w:val="right" w:pos="9072"/>
      </w:tabs>
      <w:spacing w:after="0"/>
    </w:pPr>
  </w:style>
  <w:style w:type="character" w:customStyle="1" w:styleId="FuzeileZchn">
    <w:name w:val="Fußzeile Zchn"/>
    <w:basedOn w:val="Absatz-Standardschriftart"/>
    <w:link w:val="Fuzeile"/>
    <w:uiPriority w:val="99"/>
    <w:rsid w:val="00A55A3E"/>
    <w:rPr>
      <w:color w:val="auto"/>
    </w:rPr>
  </w:style>
  <w:style w:type="character" w:styleId="Hyperlink">
    <w:name w:val="Hyperlink"/>
    <w:basedOn w:val="Absatz-Standardschriftart"/>
    <w:uiPriority w:val="99"/>
    <w:unhideWhenUsed/>
    <w:rsid w:val="00A55A3E"/>
    <w:rPr>
      <w:color w:val="000000" w:themeColor="hyperlink"/>
      <w:u w:val="single"/>
    </w:rPr>
  </w:style>
  <w:style w:type="character" w:customStyle="1" w:styleId="berschrift1Zchn">
    <w:name w:val="Überschrift 1 Zchn"/>
    <w:basedOn w:val="Absatz-Standardschriftart"/>
    <w:link w:val="berschrift1"/>
    <w:uiPriority w:val="9"/>
    <w:rsid w:val="00A55A3E"/>
    <w:rPr>
      <w:rFonts w:eastAsiaTheme="majorEastAsia" w:cstheme="majorBidi"/>
      <w:b/>
      <w:bCs/>
      <w:color w:val="auto"/>
      <w:szCs w:val="28"/>
    </w:rPr>
  </w:style>
  <w:style w:type="paragraph" w:styleId="Inhaltsverzeichnisberschrift">
    <w:name w:val="TOC Heading"/>
    <w:next w:val="Standard"/>
    <w:uiPriority w:val="39"/>
    <w:unhideWhenUsed/>
    <w:qFormat/>
    <w:rsid w:val="00A55A3E"/>
    <w:pPr>
      <w:spacing w:before="480" w:after="120" w:line="360" w:lineRule="auto"/>
    </w:pPr>
    <w:rPr>
      <w:rFonts w:eastAsiaTheme="majorEastAsia" w:cstheme="majorBidi"/>
      <w:b/>
      <w:bCs/>
      <w:color w:val="auto"/>
      <w:sz w:val="28"/>
      <w:szCs w:val="28"/>
      <w:lang w:eastAsia="de-DE"/>
    </w:rPr>
  </w:style>
  <w:style w:type="paragraph" w:styleId="Kopfzeile">
    <w:name w:val="header"/>
    <w:basedOn w:val="Standard"/>
    <w:link w:val="KopfzeileZchn"/>
    <w:uiPriority w:val="99"/>
    <w:unhideWhenUsed/>
    <w:rsid w:val="00A55A3E"/>
    <w:pPr>
      <w:tabs>
        <w:tab w:val="center" w:pos="4536"/>
        <w:tab w:val="right" w:pos="9072"/>
      </w:tabs>
      <w:spacing w:after="0"/>
    </w:pPr>
  </w:style>
  <w:style w:type="character" w:customStyle="1" w:styleId="KopfzeileZchn">
    <w:name w:val="Kopfzeile Zchn"/>
    <w:basedOn w:val="Absatz-Standardschriftart"/>
    <w:link w:val="Kopfzeile"/>
    <w:uiPriority w:val="99"/>
    <w:rsid w:val="00A55A3E"/>
    <w:rPr>
      <w:color w:val="auto"/>
    </w:rPr>
  </w:style>
  <w:style w:type="paragraph" w:customStyle="1" w:styleId="Markierungspunkt">
    <w:name w:val="Markierungspunkt"/>
    <w:uiPriority w:val="14"/>
    <w:qFormat/>
    <w:rsid w:val="00A55A3E"/>
    <w:pPr>
      <w:numPr>
        <w:numId w:val="1"/>
      </w:numPr>
    </w:pPr>
    <w:rPr>
      <w:rFonts w:eastAsia="Times New Roman" w:cs="Times New Roman"/>
      <w:color w:val="auto"/>
      <w:szCs w:val="24"/>
      <w:lang w:eastAsia="de-DE"/>
    </w:rPr>
  </w:style>
  <w:style w:type="paragraph" w:customStyle="1" w:styleId="Spiegelstrich">
    <w:name w:val="Spiegelstrich"/>
    <w:uiPriority w:val="14"/>
    <w:qFormat/>
    <w:rsid w:val="00A55A3E"/>
    <w:pPr>
      <w:numPr>
        <w:numId w:val="2"/>
      </w:numPr>
    </w:pPr>
    <w:rPr>
      <w:rFonts w:eastAsia="Times New Roman" w:cs="Times New Roman"/>
      <w:color w:val="auto"/>
      <w:szCs w:val="24"/>
      <w:lang w:eastAsia="de-DE"/>
    </w:rPr>
  </w:style>
  <w:style w:type="character" w:customStyle="1" w:styleId="berschrift2Zchn">
    <w:name w:val="Überschrift 2 Zchn"/>
    <w:basedOn w:val="Absatz-Standardschriftart"/>
    <w:link w:val="berschrift2"/>
    <w:uiPriority w:val="9"/>
    <w:rsid w:val="008329D5"/>
    <w:rPr>
      <w:rFonts w:eastAsiaTheme="majorEastAsia" w:cstheme="majorBidi"/>
      <w:b/>
      <w:bCs/>
      <w:color w:val="auto"/>
      <w:szCs w:val="26"/>
    </w:rPr>
  </w:style>
  <w:style w:type="character" w:customStyle="1" w:styleId="berschrift3Zchn">
    <w:name w:val="Überschrift 3 Zchn"/>
    <w:basedOn w:val="Absatz-Standardschriftart"/>
    <w:link w:val="berschrift3"/>
    <w:uiPriority w:val="9"/>
    <w:rsid w:val="00A55A3E"/>
    <w:rPr>
      <w:rFonts w:eastAsiaTheme="majorEastAsia" w:cstheme="majorBidi"/>
      <w:bCs/>
      <w:color w:val="auto"/>
    </w:rPr>
  </w:style>
  <w:style w:type="character" w:customStyle="1" w:styleId="berschrift4Zchn">
    <w:name w:val="Überschrift 4 Zchn"/>
    <w:basedOn w:val="Absatz-Standardschriftart"/>
    <w:link w:val="berschrift4"/>
    <w:uiPriority w:val="9"/>
    <w:rsid w:val="004832FA"/>
    <w:rPr>
      <w:rFonts w:eastAsiaTheme="majorEastAsia" w:cstheme="majorBidi"/>
      <w:bCs/>
      <w:iCs/>
    </w:rPr>
  </w:style>
  <w:style w:type="paragraph" w:styleId="Verzeichnis1">
    <w:name w:val="toc 1"/>
    <w:next w:val="Standard"/>
    <w:autoRedefine/>
    <w:uiPriority w:val="39"/>
    <w:unhideWhenUsed/>
    <w:rsid w:val="00FD3E79"/>
    <w:pPr>
      <w:tabs>
        <w:tab w:val="left" w:pos="440"/>
        <w:tab w:val="right" w:leader="dot" w:pos="9062"/>
      </w:tabs>
      <w:ind w:left="357" w:hanging="357"/>
    </w:pPr>
    <w:rPr>
      <w:b/>
      <w:color w:val="auto"/>
    </w:rPr>
  </w:style>
  <w:style w:type="paragraph" w:styleId="Verzeichnis2">
    <w:name w:val="toc 2"/>
    <w:next w:val="Standard"/>
    <w:autoRedefine/>
    <w:uiPriority w:val="39"/>
    <w:unhideWhenUsed/>
    <w:rsid w:val="0023508D"/>
    <w:pPr>
      <w:tabs>
        <w:tab w:val="left" w:pos="896"/>
        <w:tab w:val="right" w:leader="dot" w:pos="9062"/>
      </w:tabs>
      <w:ind w:left="510" w:hanging="510"/>
    </w:pPr>
    <w:rPr>
      <w:noProof/>
      <w:color w:val="auto"/>
    </w:rPr>
  </w:style>
  <w:style w:type="paragraph" w:styleId="Verzeichnis3">
    <w:name w:val="toc 3"/>
    <w:basedOn w:val="Standard"/>
    <w:next w:val="Standard"/>
    <w:autoRedefine/>
    <w:uiPriority w:val="39"/>
    <w:unhideWhenUsed/>
    <w:rsid w:val="00FF7BA1"/>
    <w:pPr>
      <w:tabs>
        <w:tab w:val="left" w:pos="1320"/>
        <w:tab w:val="left" w:pos="1760"/>
        <w:tab w:val="right" w:leader="dot" w:pos="9062"/>
      </w:tabs>
      <w:ind w:left="737" w:hanging="737"/>
    </w:pPr>
  </w:style>
  <w:style w:type="character" w:customStyle="1" w:styleId="berschrift5Zchn">
    <w:name w:val="Überschrift 5 Zchn"/>
    <w:basedOn w:val="Absatz-Standardschriftart"/>
    <w:link w:val="berschrift5"/>
    <w:uiPriority w:val="9"/>
    <w:semiHidden/>
    <w:rsid w:val="00FC65FB"/>
    <w:rPr>
      <w:rFonts w:asciiTheme="majorHAnsi" w:eastAsiaTheme="majorEastAsia" w:hAnsiTheme="majorHAnsi" w:cstheme="majorBidi"/>
      <w:color w:val="774000" w:themeColor="accent1" w:themeShade="7F"/>
    </w:rPr>
  </w:style>
  <w:style w:type="character" w:customStyle="1" w:styleId="berschrift6Zchn">
    <w:name w:val="Überschrift 6 Zchn"/>
    <w:basedOn w:val="Absatz-Standardschriftart"/>
    <w:link w:val="berschrift6"/>
    <w:uiPriority w:val="9"/>
    <w:semiHidden/>
    <w:rsid w:val="00FC65FB"/>
    <w:rPr>
      <w:rFonts w:asciiTheme="majorHAnsi" w:eastAsiaTheme="majorEastAsia" w:hAnsiTheme="majorHAnsi" w:cstheme="majorBidi"/>
      <w:i/>
      <w:iCs/>
      <w:color w:val="774000" w:themeColor="accent1" w:themeShade="7F"/>
    </w:rPr>
  </w:style>
  <w:style w:type="character" w:customStyle="1" w:styleId="berschrift7Zchn">
    <w:name w:val="Überschrift 7 Zchn"/>
    <w:basedOn w:val="Absatz-Standardschriftart"/>
    <w:link w:val="berschrift7"/>
    <w:uiPriority w:val="9"/>
    <w:semiHidden/>
    <w:rsid w:val="00FC65F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5F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C65FB"/>
    <w:rPr>
      <w:rFonts w:asciiTheme="majorHAnsi" w:eastAsiaTheme="majorEastAsia" w:hAnsiTheme="majorHAnsi" w:cstheme="majorBidi"/>
      <w:i/>
      <w:iCs/>
      <w:color w:val="404040" w:themeColor="text1" w:themeTint="BF"/>
      <w:sz w:val="20"/>
      <w:szCs w:val="20"/>
    </w:rPr>
  </w:style>
  <w:style w:type="paragraph" w:customStyle="1" w:styleId="NummerierteListe">
    <w:name w:val="Nummerierte Liste"/>
    <w:uiPriority w:val="15"/>
    <w:qFormat/>
    <w:rsid w:val="00E63B37"/>
    <w:pPr>
      <w:numPr>
        <w:numId w:val="6"/>
      </w:numPr>
    </w:pPr>
    <w:rPr>
      <w:rFonts w:eastAsia="Times New Roman" w:cs="Times New Roman"/>
      <w:color w:val="auto"/>
      <w:lang w:eastAsia="de-DE"/>
    </w:rPr>
  </w:style>
  <w:style w:type="paragraph" w:styleId="KeinLeerraum">
    <w:name w:val="No Spacing"/>
    <w:uiPriority w:val="1"/>
    <w:qFormat/>
    <w:rsid w:val="00D825B9"/>
    <w:pPr>
      <w:spacing w:after="0"/>
    </w:pPr>
  </w:style>
  <w:style w:type="character" w:styleId="SchwacheHervorhebung">
    <w:name w:val="Subtle Emphasis"/>
    <w:basedOn w:val="Absatz-Standardschriftart"/>
    <w:uiPriority w:val="19"/>
    <w:qFormat/>
    <w:rsid w:val="00253EC1"/>
    <w:rPr>
      <w:i/>
      <w:iCs/>
      <w:color w:val="404040" w:themeColor="text1" w:themeTint="BF"/>
    </w:rPr>
  </w:style>
  <w:style w:type="character" w:styleId="Kommentarzeichen">
    <w:name w:val="annotation reference"/>
    <w:rsid w:val="00F14614"/>
    <w:rPr>
      <w:sz w:val="16"/>
      <w:szCs w:val="16"/>
    </w:rPr>
  </w:style>
  <w:style w:type="paragraph" w:styleId="Kommentartext">
    <w:name w:val="annotation text"/>
    <w:basedOn w:val="Standard"/>
    <w:link w:val="KommentartextZchn"/>
    <w:rsid w:val="00F14614"/>
    <w:pPr>
      <w:spacing w:after="0"/>
    </w:pPr>
    <w:rPr>
      <w:rFonts w:eastAsia="Times New Roman" w:cs="Times New Roman"/>
      <w:color w:val="auto"/>
      <w:sz w:val="20"/>
      <w:szCs w:val="20"/>
    </w:rPr>
  </w:style>
  <w:style w:type="character" w:customStyle="1" w:styleId="KommentartextZchn">
    <w:name w:val="Kommentartext Zchn"/>
    <w:basedOn w:val="Absatz-Standardschriftart"/>
    <w:link w:val="Kommentartext"/>
    <w:rsid w:val="00F14614"/>
    <w:rPr>
      <w:rFonts w:eastAsia="Times New Roman" w:cs="Times New Roman"/>
      <w:color w:val="auto"/>
      <w:sz w:val="20"/>
      <w:szCs w:val="20"/>
    </w:rPr>
  </w:style>
  <w:style w:type="paragraph" w:styleId="StandardWeb">
    <w:name w:val="Normal (Web)"/>
    <w:basedOn w:val="Standard"/>
    <w:uiPriority w:val="99"/>
    <w:unhideWhenUsed/>
    <w:rsid w:val="00F14614"/>
    <w:pPr>
      <w:spacing w:before="100" w:beforeAutospacing="1" w:afterAutospacing="1"/>
    </w:pPr>
    <w:rPr>
      <w:rFonts w:ascii="Times New Roman" w:eastAsia="Times New Roman" w:hAnsi="Times New Roman" w:cs="Times New Roman"/>
      <w:color w:val="auto"/>
      <w:sz w:val="24"/>
      <w:szCs w:val="24"/>
      <w:lang w:eastAsia="de-DE"/>
    </w:rPr>
  </w:style>
  <w:style w:type="paragraph" w:styleId="Kommentarthema">
    <w:name w:val="annotation subject"/>
    <w:basedOn w:val="Kommentartext"/>
    <w:next w:val="Kommentartext"/>
    <w:link w:val="KommentarthemaZchn"/>
    <w:uiPriority w:val="99"/>
    <w:semiHidden/>
    <w:unhideWhenUsed/>
    <w:rsid w:val="000040E4"/>
    <w:pPr>
      <w:spacing w:after="100"/>
    </w:pPr>
    <w:rPr>
      <w:rFonts w:eastAsiaTheme="minorHAnsi" w:cstheme="minorBidi"/>
      <w:b/>
      <w:bCs/>
      <w:color w:val="000000" w:themeColor="text1"/>
    </w:rPr>
  </w:style>
  <w:style w:type="character" w:customStyle="1" w:styleId="KommentarthemaZchn">
    <w:name w:val="Kommentarthema Zchn"/>
    <w:basedOn w:val="KommentartextZchn"/>
    <w:link w:val="Kommentarthema"/>
    <w:uiPriority w:val="99"/>
    <w:semiHidden/>
    <w:rsid w:val="000040E4"/>
    <w:rPr>
      <w:rFonts w:eastAsia="Times New Roman" w:cs="Times New Roman"/>
      <w:b/>
      <w:bCs/>
      <w:color w:val="auto"/>
      <w:sz w:val="20"/>
      <w:szCs w:val="20"/>
    </w:rPr>
  </w:style>
  <w:style w:type="paragraph" w:styleId="Funotentext">
    <w:name w:val="footnote text"/>
    <w:basedOn w:val="Standard"/>
    <w:link w:val="FunotentextZchn"/>
    <w:semiHidden/>
    <w:unhideWhenUsed/>
    <w:rsid w:val="0088149F"/>
    <w:pPr>
      <w:spacing w:after="0"/>
    </w:pPr>
    <w:rPr>
      <w:sz w:val="20"/>
      <w:szCs w:val="20"/>
    </w:rPr>
  </w:style>
  <w:style w:type="character" w:customStyle="1" w:styleId="FunotentextZchn">
    <w:name w:val="Fußnotentext Zchn"/>
    <w:basedOn w:val="Absatz-Standardschriftart"/>
    <w:link w:val="Funotentext"/>
    <w:semiHidden/>
    <w:rsid w:val="0088149F"/>
    <w:rPr>
      <w:sz w:val="20"/>
      <w:szCs w:val="20"/>
    </w:rPr>
  </w:style>
  <w:style w:type="character" w:styleId="Funotenzeichen">
    <w:name w:val="footnote reference"/>
    <w:basedOn w:val="Absatz-Standardschriftart"/>
    <w:semiHidden/>
    <w:unhideWhenUsed/>
    <w:rsid w:val="0088149F"/>
    <w:rPr>
      <w:vertAlign w:val="superscript"/>
    </w:rPr>
  </w:style>
  <w:style w:type="character" w:styleId="NichtaufgelsteErwhnung">
    <w:name w:val="Unresolved Mention"/>
    <w:basedOn w:val="Absatz-Standardschriftart"/>
    <w:uiPriority w:val="99"/>
    <w:semiHidden/>
    <w:unhideWhenUsed/>
    <w:rsid w:val="00545F94"/>
    <w:rPr>
      <w:color w:val="605E5C"/>
      <w:shd w:val="clear" w:color="auto" w:fill="E1DFDD"/>
    </w:rPr>
  </w:style>
  <w:style w:type="paragraph" w:styleId="Listenabsatz">
    <w:name w:val="List Paragraph"/>
    <w:basedOn w:val="Standard"/>
    <w:uiPriority w:val="34"/>
    <w:qFormat/>
    <w:rsid w:val="001F5579"/>
    <w:pPr>
      <w:ind w:left="720"/>
      <w:contextualSpacing/>
    </w:pPr>
  </w:style>
  <w:style w:type="paragraph" w:styleId="Aufzhlungszeichen">
    <w:name w:val="List Bullet"/>
    <w:basedOn w:val="Standard"/>
    <w:uiPriority w:val="99"/>
    <w:unhideWhenUsed/>
    <w:rsid w:val="00D52259"/>
    <w:pPr>
      <w:numPr>
        <w:numId w:val="19"/>
      </w:numPr>
      <w:contextualSpacing/>
    </w:pPr>
  </w:style>
  <w:style w:type="paragraph" w:styleId="berarbeitung">
    <w:name w:val="Revision"/>
    <w:hidden/>
    <w:uiPriority w:val="99"/>
    <w:semiHidden/>
    <w:rsid w:val="003E62D3"/>
    <w:pPr>
      <w:spacing w:after="0"/>
    </w:pPr>
  </w:style>
  <w:style w:type="paragraph" w:styleId="Textkrper-Zeileneinzug">
    <w:name w:val="Body Text Indent"/>
    <w:basedOn w:val="Standard"/>
    <w:link w:val="Textkrper-ZeileneinzugZchn"/>
    <w:uiPriority w:val="99"/>
    <w:unhideWhenUsed/>
    <w:rsid w:val="003179F8"/>
    <w:pPr>
      <w:snapToGrid w:val="0"/>
      <w:spacing w:after="240"/>
      <w:ind w:left="709"/>
    </w:pPr>
    <w:rPr>
      <w:rFonts w:eastAsia="Times New Roman" w:cs="Times New Roman"/>
      <w:color w:val="000000"/>
      <w:sz w:val="24"/>
      <w:szCs w:val="20"/>
      <w:lang w:eastAsia="de-DE"/>
    </w:rPr>
  </w:style>
  <w:style w:type="character" w:customStyle="1" w:styleId="Textkrper-ZeileneinzugZchn">
    <w:name w:val="Textkörper-Zeileneinzug Zchn"/>
    <w:basedOn w:val="Absatz-Standardschriftart"/>
    <w:link w:val="Textkrper-Zeileneinzug"/>
    <w:uiPriority w:val="99"/>
    <w:rsid w:val="003179F8"/>
    <w:rPr>
      <w:rFonts w:eastAsia="Times New Roman" w:cs="Times New Roman"/>
      <w:color w:val="000000"/>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9686">
      <w:bodyDiv w:val="1"/>
      <w:marLeft w:val="0"/>
      <w:marRight w:val="0"/>
      <w:marTop w:val="0"/>
      <w:marBottom w:val="0"/>
      <w:divBdr>
        <w:top w:val="none" w:sz="0" w:space="0" w:color="auto"/>
        <w:left w:val="none" w:sz="0" w:space="0" w:color="auto"/>
        <w:bottom w:val="none" w:sz="0" w:space="0" w:color="auto"/>
        <w:right w:val="none" w:sz="0" w:space="0" w:color="auto"/>
      </w:divBdr>
    </w:div>
    <w:div w:id="258023528">
      <w:bodyDiv w:val="1"/>
      <w:marLeft w:val="0"/>
      <w:marRight w:val="0"/>
      <w:marTop w:val="0"/>
      <w:marBottom w:val="0"/>
      <w:divBdr>
        <w:top w:val="none" w:sz="0" w:space="0" w:color="auto"/>
        <w:left w:val="none" w:sz="0" w:space="0" w:color="auto"/>
        <w:bottom w:val="none" w:sz="0" w:space="0" w:color="auto"/>
        <w:right w:val="none" w:sz="0" w:space="0" w:color="auto"/>
      </w:divBdr>
    </w:div>
    <w:div w:id="371883918">
      <w:bodyDiv w:val="1"/>
      <w:marLeft w:val="0"/>
      <w:marRight w:val="0"/>
      <w:marTop w:val="0"/>
      <w:marBottom w:val="0"/>
      <w:divBdr>
        <w:top w:val="none" w:sz="0" w:space="0" w:color="auto"/>
        <w:left w:val="none" w:sz="0" w:space="0" w:color="auto"/>
        <w:bottom w:val="none" w:sz="0" w:space="0" w:color="auto"/>
        <w:right w:val="none" w:sz="0" w:space="0" w:color="auto"/>
      </w:divBdr>
    </w:div>
    <w:div w:id="404839468">
      <w:bodyDiv w:val="1"/>
      <w:marLeft w:val="0"/>
      <w:marRight w:val="0"/>
      <w:marTop w:val="0"/>
      <w:marBottom w:val="0"/>
      <w:divBdr>
        <w:top w:val="none" w:sz="0" w:space="0" w:color="auto"/>
        <w:left w:val="none" w:sz="0" w:space="0" w:color="auto"/>
        <w:bottom w:val="none" w:sz="0" w:space="0" w:color="auto"/>
        <w:right w:val="none" w:sz="0" w:space="0" w:color="auto"/>
      </w:divBdr>
    </w:div>
    <w:div w:id="491917424">
      <w:bodyDiv w:val="1"/>
      <w:marLeft w:val="0"/>
      <w:marRight w:val="0"/>
      <w:marTop w:val="0"/>
      <w:marBottom w:val="0"/>
      <w:divBdr>
        <w:top w:val="none" w:sz="0" w:space="0" w:color="auto"/>
        <w:left w:val="none" w:sz="0" w:space="0" w:color="auto"/>
        <w:bottom w:val="none" w:sz="0" w:space="0" w:color="auto"/>
        <w:right w:val="none" w:sz="0" w:space="0" w:color="auto"/>
      </w:divBdr>
    </w:div>
    <w:div w:id="617487932">
      <w:bodyDiv w:val="1"/>
      <w:marLeft w:val="0"/>
      <w:marRight w:val="0"/>
      <w:marTop w:val="0"/>
      <w:marBottom w:val="0"/>
      <w:divBdr>
        <w:top w:val="none" w:sz="0" w:space="0" w:color="auto"/>
        <w:left w:val="none" w:sz="0" w:space="0" w:color="auto"/>
        <w:bottom w:val="none" w:sz="0" w:space="0" w:color="auto"/>
        <w:right w:val="none" w:sz="0" w:space="0" w:color="auto"/>
      </w:divBdr>
    </w:div>
    <w:div w:id="780078112">
      <w:bodyDiv w:val="1"/>
      <w:marLeft w:val="0"/>
      <w:marRight w:val="0"/>
      <w:marTop w:val="0"/>
      <w:marBottom w:val="0"/>
      <w:divBdr>
        <w:top w:val="none" w:sz="0" w:space="0" w:color="auto"/>
        <w:left w:val="none" w:sz="0" w:space="0" w:color="auto"/>
        <w:bottom w:val="none" w:sz="0" w:space="0" w:color="auto"/>
        <w:right w:val="none" w:sz="0" w:space="0" w:color="auto"/>
      </w:divBdr>
    </w:div>
    <w:div w:id="802848482">
      <w:bodyDiv w:val="1"/>
      <w:marLeft w:val="0"/>
      <w:marRight w:val="0"/>
      <w:marTop w:val="0"/>
      <w:marBottom w:val="0"/>
      <w:divBdr>
        <w:top w:val="none" w:sz="0" w:space="0" w:color="auto"/>
        <w:left w:val="none" w:sz="0" w:space="0" w:color="auto"/>
        <w:bottom w:val="none" w:sz="0" w:space="0" w:color="auto"/>
        <w:right w:val="none" w:sz="0" w:space="0" w:color="auto"/>
      </w:divBdr>
    </w:div>
    <w:div w:id="981346664">
      <w:bodyDiv w:val="1"/>
      <w:marLeft w:val="0"/>
      <w:marRight w:val="0"/>
      <w:marTop w:val="0"/>
      <w:marBottom w:val="0"/>
      <w:divBdr>
        <w:top w:val="none" w:sz="0" w:space="0" w:color="auto"/>
        <w:left w:val="none" w:sz="0" w:space="0" w:color="auto"/>
        <w:bottom w:val="none" w:sz="0" w:space="0" w:color="auto"/>
        <w:right w:val="none" w:sz="0" w:space="0" w:color="auto"/>
      </w:divBdr>
    </w:div>
    <w:div w:id="1150174889">
      <w:bodyDiv w:val="1"/>
      <w:marLeft w:val="0"/>
      <w:marRight w:val="0"/>
      <w:marTop w:val="0"/>
      <w:marBottom w:val="0"/>
      <w:divBdr>
        <w:top w:val="none" w:sz="0" w:space="0" w:color="auto"/>
        <w:left w:val="none" w:sz="0" w:space="0" w:color="auto"/>
        <w:bottom w:val="none" w:sz="0" w:space="0" w:color="auto"/>
        <w:right w:val="none" w:sz="0" w:space="0" w:color="auto"/>
      </w:divBdr>
    </w:div>
    <w:div w:id="1183205072">
      <w:bodyDiv w:val="1"/>
      <w:marLeft w:val="0"/>
      <w:marRight w:val="0"/>
      <w:marTop w:val="0"/>
      <w:marBottom w:val="0"/>
      <w:divBdr>
        <w:top w:val="none" w:sz="0" w:space="0" w:color="auto"/>
        <w:left w:val="none" w:sz="0" w:space="0" w:color="auto"/>
        <w:bottom w:val="none" w:sz="0" w:space="0" w:color="auto"/>
        <w:right w:val="none" w:sz="0" w:space="0" w:color="auto"/>
      </w:divBdr>
    </w:div>
    <w:div w:id="1319529751">
      <w:bodyDiv w:val="1"/>
      <w:marLeft w:val="0"/>
      <w:marRight w:val="0"/>
      <w:marTop w:val="0"/>
      <w:marBottom w:val="0"/>
      <w:divBdr>
        <w:top w:val="none" w:sz="0" w:space="0" w:color="auto"/>
        <w:left w:val="none" w:sz="0" w:space="0" w:color="auto"/>
        <w:bottom w:val="none" w:sz="0" w:space="0" w:color="auto"/>
        <w:right w:val="none" w:sz="0" w:space="0" w:color="auto"/>
      </w:divBdr>
    </w:div>
    <w:div w:id="1435981167">
      <w:bodyDiv w:val="1"/>
      <w:marLeft w:val="0"/>
      <w:marRight w:val="0"/>
      <w:marTop w:val="0"/>
      <w:marBottom w:val="0"/>
      <w:divBdr>
        <w:top w:val="none" w:sz="0" w:space="0" w:color="auto"/>
        <w:left w:val="none" w:sz="0" w:space="0" w:color="auto"/>
        <w:bottom w:val="none" w:sz="0" w:space="0" w:color="auto"/>
        <w:right w:val="none" w:sz="0" w:space="0" w:color="auto"/>
      </w:divBdr>
    </w:div>
    <w:div w:id="1476218029">
      <w:bodyDiv w:val="1"/>
      <w:marLeft w:val="0"/>
      <w:marRight w:val="0"/>
      <w:marTop w:val="0"/>
      <w:marBottom w:val="0"/>
      <w:divBdr>
        <w:top w:val="none" w:sz="0" w:space="0" w:color="auto"/>
        <w:left w:val="none" w:sz="0" w:space="0" w:color="auto"/>
        <w:bottom w:val="none" w:sz="0" w:space="0" w:color="auto"/>
        <w:right w:val="none" w:sz="0" w:space="0" w:color="auto"/>
      </w:divBdr>
    </w:div>
    <w:div w:id="1913614553">
      <w:bodyDiv w:val="1"/>
      <w:marLeft w:val="0"/>
      <w:marRight w:val="0"/>
      <w:marTop w:val="0"/>
      <w:marBottom w:val="0"/>
      <w:divBdr>
        <w:top w:val="none" w:sz="0" w:space="0" w:color="auto"/>
        <w:left w:val="none" w:sz="0" w:space="0" w:color="auto"/>
        <w:bottom w:val="none" w:sz="0" w:space="0" w:color="auto"/>
        <w:right w:val="none" w:sz="0" w:space="0" w:color="auto"/>
      </w:divBdr>
    </w:div>
    <w:div w:id="19998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eigengesch&#228;ft@dzbank.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2.jpg@01DABDB4.108DC3A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FTR-Meldung@dzbank.d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undesbank.de/resource/blob/759062/08e8edb68e07f5a5bc325058a1774887/mL/dfbs-abgabe-gross-millionenkreditanzeigen-data.pdf" TargetMode="External"/></Relationships>
</file>

<file path=word/theme/theme1.xml><?xml version="1.0" encoding="utf-8"?>
<a:theme xmlns:a="http://schemas.openxmlformats.org/drawingml/2006/main" name="MyDZ">
  <a:themeElements>
    <a:clrScheme name="DZ BANK 2016-07-07">
      <a:dk1>
        <a:srgbClr val="000000"/>
      </a:dk1>
      <a:lt1>
        <a:srgbClr val="FFFFFF"/>
      </a:lt1>
      <a:dk2>
        <a:srgbClr val="707172"/>
      </a:dk2>
      <a:lt2>
        <a:srgbClr val="DFDEDD"/>
      </a:lt2>
      <a:accent1>
        <a:srgbClr val="F08200"/>
      </a:accent1>
      <a:accent2>
        <a:srgbClr val="0E3C8A"/>
      </a:accent2>
      <a:accent3>
        <a:srgbClr val="E6460F"/>
      </a:accent3>
      <a:accent4>
        <a:srgbClr val="86A8D0"/>
      </a:accent4>
      <a:accent5>
        <a:srgbClr val="707172"/>
      </a:accent5>
      <a:accent6>
        <a:srgbClr val="DFDEDD"/>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noFill/>
          <a:prstDash val="solid"/>
          <a:round/>
          <a:headEnd type="none" w="med" len="med"/>
          <a:tailEnd type="none" w="med" len="med"/>
        </a:ln>
        <a:effectLst/>
      </a:spPr>
      <a:bodyPr vert="horz" wrap="square" lIns="90000" tIns="46800" rIns="90000" bIns="4680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 typeface="Arial" charset="0"/>
          <a:buNone/>
          <a:tabLst/>
          <a:defRPr kumimoji="0" sz="2000" b="0" i="0" u="none" strike="noStrike" cap="none" normalizeH="0" baseline="0" dirty="0" err="1" smtClean="0">
            <a:ln>
              <a:noFill/>
            </a:ln>
            <a:solidFill>
              <a:schemeClr val="bg1"/>
            </a:solidFill>
            <a:effectLst/>
            <a:latin typeface="Arial" charset="0"/>
            <a:cs typeface="Arial" charset="0"/>
          </a:defRPr>
        </a:defPPr>
      </a:lstStyle>
    </a:spDef>
    <a:lnDef>
      <a:spPr bwMode="auto">
        <a:solidFill>
          <a:schemeClr val="bg1"/>
        </a:solidFill>
        <a:ln w="635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rtlCol="0">
        <a:spAutoFit/>
      </a:bodyPr>
      <a:lstStyle>
        <a:defPPr algn="l">
          <a:defRPr dirty="0" err="1" smtClean="0"/>
        </a:defPPr>
      </a:lstStyle>
    </a:txDef>
  </a:objectDefaults>
  <a:extraClrSchemeLst/>
  <a:custClrLst>
    <a:custClr name="1 100%">
      <a:srgbClr val="F08200"/>
    </a:custClr>
    <a:custClr name="2 100%">
      <a:srgbClr val="E6460F"/>
    </a:custClr>
    <a:custClr name="3 100%">
      <a:srgbClr val="0E3C8A"/>
    </a:custClr>
    <a:custClr name="4 100%">
      <a:srgbClr val="192D46"/>
    </a:custClr>
    <a:custClr name="5 100%">
      <a:srgbClr val="707172"/>
    </a:custClr>
    <a:custClr name="6 100%">
      <a:srgbClr val="ABABAB"/>
    </a:custClr>
    <a:custClr name="7 100%">
      <a:srgbClr val="FAB400"/>
    </a:custClr>
    <a:custClr name="8 100%">
      <a:srgbClr val="EC6400"/>
    </a:custClr>
    <a:custClr name="9 100%">
      <a:srgbClr val="B8D4E6"/>
    </a:custClr>
    <a:custClr name="10 100%">
      <a:srgbClr val="86A8D0"/>
    </a:custClr>
    <a:custClr name="1 75%">
      <a:srgbClr val="F4A140"/>
    </a:custClr>
    <a:custClr name="2 75%">
      <a:srgbClr val="EC744B"/>
    </a:custClr>
    <a:custClr name="3 75%">
      <a:srgbClr val="4A6DA7"/>
    </a:custClr>
    <a:custClr name="4 75%">
      <a:srgbClr val="536274"/>
    </a:custClr>
    <a:custClr name="5 75%">
      <a:srgbClr val="949595"/>
    </a:custClr>
    <a:custClr name="6 75%">
      <a:srgbClr val="C0C0C0"/>
    </a:custClr>
    <a:custClr name="7 50%">
      <a:srgbClr val="FCD97F"/>
    </a:custClr>
    <a:custClr name="8 50%">
      <a:srgbClr val="F5B17F"/>
    </a:custClr>
    <a:custClr name="9 50%">
      <a:srgbClr val="DBE9F2"/>
    </a:custClr>
    <a:custClr name="10 50%">
      <a:srgbClr val="C2D3E7"/>
    </a:custClr>
    <a:custClr name="1 50%">
      <a:srgbClr val="F7C07F"/>
    </a:custClr>
    <a:custClr name="2 50%">
      <a:srgbClr val="F2A287"/>
    </a:custClr>
    <a:custClr name="3 50%">
      <a:srgbClr val="869DC4"/>
    </a:custClr>
    <a:custClr name="4 50%">
      <a:srgbClr val="8C96A2"/>
    </a:custClr>
    <a:custClr name="5 50%">
      <a:srgbClr val="B7B8B8"/>
    </a:custClr>
    <a:custClr name="6 50%">
      <a:srgbClr val="D5D5D5"/>
    </a:custClr>
    <a:custClr name="11 100%">
      <a:srgbClr val="5578B2"/>
    </a:custClr>
    <a:custClr name="12 100%">
      <a:srgbClr val="DFDEDD"/>
    </a:custClr>
    <a:custClr name="13 100%">
      <a:srgbClr val="404040"/>
    </a:custClr>
    <a:custClr name="14 100%">
      <a:srgbClr val="000000"/>
    </a:custClr>
    <a:custClr name="1 30%">
      <a:srgbClr val="FAD9B2"/>
    </a:custClr>
    <a:custClr name="2 30%">
      <a:srgbClr val="F7C7B7"/>
    </a:custClr>
    <a:custClr name="3 30%">
      <a:srgbClr val="B6C4DC"/>
    </a:custClr>
    <a:custClr name="4 30%">
      <a:srgbClr val="BAC0C7"/>
    </a:custClr>
    <a:custClr name="5 30%">
      <a:srgbClr val="D4D4D4"/>
    </a:custClr>
    <a:custClr name="6 30%">
      <a:srgbClr val="E6E6E6"/>
    </a:custClr>
    <a:custClr name="11 50%">
      <a:srgbClr val="AABBD8"/>
    </a:custClr>
    <a:custClr name="12 40%">
      <a:srgbClr val="F2F2F1"/>
    </a:custClr>
    <a:custClr name="13 65%">
      <a:srgbClr val="838383"/>
    </a:custClr>
    <a:custClr name="14 65%">
      <a:srgbClr val="595959"/>
    </a:custClr>
  </a:custClrLst>
  <a:extLst>
    <a:ext uri="{05A4C25C-085E-4340-85A3-A5531E510DB2}">
      <thm15:themeFamily xmlns:thm15="http://schemas.microsoft.com/office/thememl/2012/main" name="MyDZ" id="{F2F17CFE-0ECE-4609-B217-481347D7BDA2}" vid="{13546241-FDCD-458C-83BB-61773ACAA4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E4E54A06E7E04C903865F2B5DE3A88" ma:contentTypeVersion="3" ma:contentTypeDescription="Ein neues Dokument erstellen." ma:contentTypeScope="" ma:versionID="006736eb79b8394854da36ae6b543588">
  <xsd:schema xmlns:xsd="http://www.w3.org/2001/XMLSchema" xmlns:xs="http://www.w3.org/2001/XMLSchema" xmlns:p="http://schemas.microsoft.com/office/2006/metadata/properties" xmlns:ns2="http://schemas.microsoft.com/sharepoint/v3/fields" xmlns:ns3="c6c3f818-8462-4112-9e25-ce83738d8428" targetNamespace="http://schemas.microsoft.com/office/2006/metadata/properties" ma:root="true" ma:fieldsID="781cf87aa6033f3e4cf8eddb01e33264" ns2:_="" ns3:_="">
    <xsd:import namespace="http://schemas.microsoft.com/sharepoint/v3/fields"/>
    <xsd:import namespace="c6c3f818-8462-4112-9e25-ce83738d8428"/>
    <xsd:element name="properties">
      <xsd:complexType>
        <xsd:sequence>
          <xsd:element name="documentManagement">
            <xsd:complexType>
              <xsd:all>
                <xsd:element ref="ns2:Description" minOccurs="0"/>
                <xsd:element ref="ns3:gf369d16eb3d46aa8c3ca252da0a1f6f" minOccurs="0"/>
                <xsd:element ref="ns3:TaxCatchAll" minOccurs="0"/>
                <xsd:element ref="ns3: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8" nillable="true" ma:displayName="Beschreibung" ma:internalName="Description"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c3f818-8462-4112-9e25-ce83738d8428" elementFormDefault="qualified">
    <xsd:import namespace="http://schemas.microsoft.com/office/2006/documentManagement/types"/>
    <xsd:import namespace="http://schemas.microsoft.com/office/infopath/2007/PartnerControls"/>
    <xsd:element name="gf369d16eb3d46aa8c3ca252da0a1f6f" ma:index="9" nillable="true" ma:taxonomy="true" ma:internalName="gf369d16eb3d46aa8c3ca252da0a1f6f" ma:taxonomyFieldName="UnternehmensStichwoerter" ma:displayName="Unternehmensstichwörter" ma:fieldId="{0f369d16-eb3d-46aa-8c3c-a252da0a1f6f}" ma:taxonomyMulti="true" ma:sspId="3c7631bb-39c0-4819-9453-df89138eaf7e" ma:termSetId="072b7c66-d362-4af2-acd9-73fd7fbd2868"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246a9c6a-3289-4c60-bc5e-50e28398212a}" ma:internalName="TaxCatchAll" ma:showField="CatchAllData" ma:web="c6c3f818-8462-4112-9e25-ce83738d842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46a9c6a-3289-4c60-bc5e-50e28398212a}" ma:internalName="TaxCatchAllLabel" ma:readOnly="true" ma:showField="CatchAllDataLabel" ma:web="c6c3f818-8462-4112-9e25-ce83738d8428">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f369d16eb3d46aa8c3ca252da0a1f6f xmlns="c6c3f818-8462-4112-9e25-ce83738d8428">
      <Terms xmlns="http://schemas.microsoft.com/office/infopath/2007/PartnerControls"/>
    </gf369d16eb3d46aa8c3ca252da0a1f6f>
    <TaxCatchAll xmlns="c6c3f818-8462-4112-9e25-ce83738d8428"/>
    <SharedWithUsers xmlns="c6c3f818-8462-4112-9e25-ce83738d8428">
      <UserInfo>
        <DisplayName>Rübensaal, Torsten</DisplayName>
        <AccountId>84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225BE-D71F-415E-B9E9-D210C4A1B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6c3f818-8462-4112-9e25-ce83738d8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A267C-F0ED-484B-9F20-3606E7D25553}">
  <ds:schemaRefs>
    <ds:schemaRef ds:uri="http://schemas.openxmlformats.org/officeDocument/2006/bibliography"/>
  </ds:schemaRefs>
</ds:datastoreItem>
</file>

<file path=customXml/itemProps3.xml><?xml version="1.0" encoding="utf-8"?>
<ds:datastoreItem xmlns:ds="http://schemas.openxmlformats.org/officeDocument/2006/customXml" ds:itemID="{1CB7490F-2862-4DF3-B599-8A99A4FB1F96}">
  <ds:schemaRefs>
    <ds:schemaRef ds:uri="http://purl.org/dc/terms/"/>
    <ds:schemaRef ds:uri="http://schemas.openxmlformats.org/package/2006/metadata/core-properties"/>
    <ds:schemaRef ds:uri="c6c3f818-8462-4112-9e25-ce83738d842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C1EA928A-04A6-4D6E-B9D5-CDEF4F258D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7368</Words>
  <Characters>46420</Characters>
  <Application>Microsoft Office Word</Application>
  <DocSecurity>0</DocSecurity>
  <Lines>386</Lines>
  <Paragraphs>107</Paragraphs>
  <ScaleCrop>false</ScaleCrop>
  <HeadingPairs>
    <vt:vector size="2" baseType="variant">
      <vt:variant>
        <vt:lpstr>Titel</vt:lpstr>
      </vt:variant>
      <vt:variant>
        <vt:i4>1</vt:i4>
      </vt:variant>
    </vt:vector>
  </HeadingPairs>
  <TitlesOfParts>
    <vt:vector size="1" baseType="lpstr">
      <vt:lpstr/>
    </vt:vector>
  </TitlesOfParts>
  <Company>DZ BANK AG</Company>
  <LinksUpToDate>false</LinksUpToDate>
  <CharactersWithSpaces>53681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 Andreas</dc:creator>
  <cp:keywords/>
  <dc:description/>
  <cp:lastModifiedBy>Weiß, David</cp:lastModifiedBy>
  <cp:revision>4</cp:revision>
  <cp:lastPrinted>2023-02-07T10:15:00Z</cp:lastPrinted>
  <dcterms:created xsi:type="dcterms:W3CDTF">2024-07-19T13:20:00Z</dcterms:created>
  <dcterms:modified xsi:type="dcterms:W3CDTF">2024-09-06T11:48:00Z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388aff-dd76-410d-845d-adc797ffbb33_Enabled">
    <vt:lpwstr>true</vt:lpwstr>
  </property>
  <property fmtid="{D5CDD505-2E9C-101B-9397-08002B2CF9AE}" pid="3" name="MSIP_Label_ce388aff-dd76-410d-845d-adc797ffbb33_SetDate">
    <vt:lpwstr>2023-01-19T07:20:18Z</vt:lpwstr>
  </property>
  <property fmtid="{D5CDD505-2E9C-101B-9397-08002B2CF9AE}" pid="4" name="MSIP_Label_ce388aff-dd76-410d-845d-adc797ffbb33_Method">
    <vt:lpwstr>Standard</vt:lpwstr>
  </property>
  <property fmtid="{D5CDD505-2E9C-101B-9397-08002B2CF9AE}" pid="5" name="MSIP_Label_ce388aff-dd76-410d-845d-adc797ffbb33_Name">
    <vt:lpwstr>Intern - Ohne Kennzeichnung</vt:lpwstr>
  </property>
  <property fmtid="{D5CDD505-2E9C-101B-9397-08002B2CF9AE}" pid="6" name="MSIP_Label_ce388aff-dd76-410d-845d-adc797ffbb33_SiteId">
    <vt:lpwstr>9c95f08c-5b50-44fa-a497-68f08eacf90c</vt:lpwstr>
  </property>
  <property fmtid="{D5CDD505-2E9C-101B-9397-08002B2CF9AE}" pid="7" name="MSIP_Label_ce388aff-dd76-410d-845d-adc797ffbb33_ActionId">
    <vt:lpwstr>40acd41f-f2c9-430a-8c07-a46eda3aa678</vt:lpwstr>
  </property>
  <property fmtid="{D5CDD505-2E9C-101B-9397-08002B2CF9AE}" pid="8" name="MSIP_Label_ce388aff-dd76-410d-845d-adc797ffbb33_ContentBits">
    <vt:lpwstr>0</vt:lpwstr>
  </property>
  <property fmtid="{D5CDD505-2E9C-101B-9397-08002B2CF9AE}" pid="9" name="ContentTypeId">
    <vt:lpwstr>0x01010096E4E54A06E7E04C903865F2B5DE3A88</vt:lpwstr>
  </property>
  <property fmtid="{D5CDD505-2E9C-101B-9397-08002B2CF9AE}" pid="10" name="UnternehmensStichwoerter">
    <vt:lpwstr/>
  </property>
</Properties>
</file>